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E200" w14:textId="77777777" w:rsidR="00E73034" w:rsidRPr="00DE5CEA" w:rsidRDefault="004D5D12" w:rsidP="003314D2">
      <w:pPr>
        <w:pStyle w:val="Title"/>
      </w:pPr>
      <w:r w:rsidRPr="004D5D12">
        <w:rPr>
          <w:i/>
        </w:rPr>
        <w:t xml:space="preserve">Echinococcus multilocularis </w:t>
      </w:r>
      <w:r w:rsidR="00DE1630">
        <w:t>surveillance programme</w:t>
      </w:r>
    </w:p>
    <w:p w14:paraId="6681E201" w14:textId="77777777" w:rsidR="001820BC" w:rsidRDefault="007A2E83" w:rsidP="00600452">
      <w:pPr>
        <w:pStyle w:val="Heading1"/>
        <w:jc w:val="both"/>
        <w:rPr>
          <w:lang w:val="en-GB"/>
        </w:rPr>
      </w:pPr>
      <w:r>
        <w:rPr>
          <w:lang w:val="en-GB"/>
        </w:rPr>
        <w:t>Background</w:t>
      </w:r>
    </w:p>
    <w:p w14:paraId="6681E202" w14:textId="77777777" w:rsidR="00BA2F8C" w:rsidRDefault="00DE1630" w:rsidP="00600452">
      <w:pPr>
        <w:jc w:val="both"/>
      </w:pPr>
      <w:r>
        <w:rPr>
          <w:rFonts w:eastAsia="Times New Roman"/>
        </w:rPr>
        <w:t>Echinococcosis is</w:t>
      </w:r>
      <w:r w:rsidRPr="00DE1630">
        <w:rPr>
          <w:rFonts w:eastAsia="Times New Roman"/>
        </w:rPr>
        <w:t xml:space="preserve"> caused by tapeworms of the</w:t>
      </w:r>
      <w:r>
        <w:rPr>
          <w:rFonts w:eastAsia="Times New Roman"/>
        </w:rPr>
        <w:t xml:space="preserve"> genus</w:t>
      </w:r>
      <w:r w:rsidRPr="00DE1630">
        <w:rPr>
          <w:rFonts w:eastAsia="Times New Roman"/>
          <w:i/>
        </w:rPr>
        <w:t xml:space="preserve"> Echinococcus</w:t>
      </w:r>
      <w:r>
        <w:rPr>
          <w:rFonts w:eastAsia="Times New Roman"/>
        </w:rPr>
        <w:t>. Several</w:t>
      </w:r>
      <w:r w:rsidRPr="00DE1630">
        <w:rPr>
          <w:rFonts w:eastAsia="Times New Roman"/>
        </w:rPr>
        <w:t xml:space="preserve"> species of </w:t>
      </w:r>
      <w:r w:rsidRPr="00DE1630">
        <w:rPr>
          <w:rFonts w:eastAsia="Times New Roman"/>
          <w:i/>
        </w:rPr>
        <w:t xml:space="preserve">Echinococcus </w:t>
      </w:r>
      <w:r w:rsidRPr="00DE1630">
        <w:rPr>
          <w:rFonts w:eastAsia="Times New Roman"/>
        </w:rPr>
        <w:t>have been identified which infect a wide range of domestic and wild animals</w:t>
      </w:r>
      <w:r>
        <w:rPr>
          <w:rFonts w:eastAsia="Times New Roman"/>
        </w:rPr>
        <w:t>, as well as humans</w:t>
      </w:r>
      <w:r w:rsidRPr="00DE1630">
        <w:rPr>
          <w:rFonts w:eastAsia="Times New Roman"/>
        </w:rPr>
        <w:t xml:space="preserve">. </w:t>
      </w:r>
      <w:r w:rsidR="007D543C" w:rsidRPr="007D543C">
        <w:rPr>
          <w:rFonts w:eastAsia="Times New Roman"/>
          <w:i/>
        </w:rPr>
        <w:t>Echinococcus multilocularis</w:t>
      </w:r>
      <w:r w:rsidR="007D543C">
        <w:rPr>
          <w:b/>
          <w:color w:val="004E46"/>
          <w:sz w:val="23"/>
          <w:szCs w:val="23"/>
          <w:lang w:val="en-GB"/>
        </w:rPr>
        <w:t xml:space="preserve"> </w:t>
      </w:r>
      <w:r w:rsidR="007D543C" w:rsidRPr="007D543C">
        <w:t xml:space="preserve">normally circulates in a wildlife cycle involving wild carnivores </w:t>
      </w:r>
      <w:r w:rsidR="003D29E0">
        <w:t xml:space="preserve">(e.g. red fox, raccoon dog, wolf and coyote) </w:t>
      </w:r>
      <w:r w:rsidR="007D543C" w:rsidRPr="007D543C">
        <w:t>as the definitive hosts and small mammals, usually rodents</w:t>
      </w:r>
      <w:r w:rsidR="003D29E0">
        <w:t xml:space="preserve"> such as voles</w:t>
      </w:r>
      <w:r w:rsidR="007D543C" w:rsidRPr="007D543C">
        <w:t xml:space="preserve">, as intermediate hosts. Domestic cats and dogs can be infected with the adult tapeworms if they prey on </w:t>
      </w:r>
      <w:r w:rsidR="003D29E0">
        <w:t xml:space="preserve">infected </w:t>
      </w:r>
      <w:r w:rsidR="007D543C" w:rsidRPr="007D543C">
        <w:t>ro</w:t>
      </w:r>
      <w:r w:rsidR="007D543C">
        <w:t>dents. Humans can become infected with the intermediate stage as accidental hosts</w:t>
      </w:r>
      <w:r w:rsidR="00763C0F">
        <w:t xml:space="preserve"> through the ingestion of tapeworm eggs (e.g. in contaminated vegetables or from hand to mouth after handling infected animals)</w:t>
      </w:r>
      <w:r w:rsidR="007D543C">
        <w:t xml:space="preserve">; in such cases, </w:t>
      </w:r>
      <w:r w:rsidR="007D543C" w:rsidRPr="007D543C">
        <w:rPr>
          <w:i/>
        </w:rPr>
        <w:t>E. multilocularis</w:t>
      </w:r>
      <w:r w:rsidR="007D543C">
        <w:t xml:space="preserve"> causes a condition known as alveolar echinococcosis, which is often fatal if untreated.  </w:t>
      </w:r>
    </w:p>
    <w:p w14:paraId="6681E203" w14:textId="77777777" w:rsidR="007D543C" w:rsidRDefault="0032148C" w:rsidP="00600452">
      <w:pPr>
        <w:jc w:val="both"/>
      </w:pPr>
      <w:r w:rsidRPr="0032148C">
        <w:rPr>
          <w:i/>
        </w:rPr>
        <w:t>E</w:t>
      </w:r>
      <w:r>
        <w:rPr>
          <w:i/>
        </w:rPr>
        <w:t>.</w:t>
      </w:r>
      <w:r w:rsidRPr="0032148C">
        <w:rPr>
          <w:i/>
        </w:rPr>
        <w:t xml:space="preserve"> multilocularis</w:t>
      </w:r>
      <w:r>
        <w:t xml:space="preserve"> is found in many countries in continental Europe, but it has never been reported in Ireland. </w:t>
      </w:r>
    </w:p>
    <w:p w14:paraId="6681E204" w14:textId="77777777" w:rsidR="007D543C" w:rsidRPr="007D543C" w:rsidRDefault="007D543C" w:rsidP="00600452">
      <w:pPr>
        <w:jc w:val="both"/>
      </w:pPr>
    </w:p>
    <w:p w14:paraId="6681E205" w14:textId="77777777" w:rsidR="00DB3764" w:rsidRDefault="00DD5D36" w:rsidP="00600452">
      <w:pPr>
        <w:pStyle w:val="Heading1"/>
        <w:jc w:val="both"/>
        <w:rPr>
          <w:lang w:val="en-GB"/>
        </w:rPr>
      </w:pPr>
      <w:r>
        <w:rPr>
          <w:lang w:val="en-GB"/>
        </w:rPr>
        <w:t>Legislative basis</w:t>
      </w:r>
      <w:r w:rsidR="00DB3764">
        <w:rPr>
          <w:lang w:val="en-GB"/>
        </w:rPr>
        <w:t xml:space="preserve"> </w:t>
      </w:r>
    </w:p>
    <w:p w14:paraId="6681E207" w14:textId="5349DEC9" w:rsidR="001E0D6F" w:rsidRPr="00EE47AE" w:rsidRDefault="0032148C" w:rsidP="00600452">
      <w:pPr>
        <w:jc w:val="both"/>
        <w:rPr>
          <w:lang w:val="en-GB"/>
        </w:rPr>
      </w:pPr>
      <w:r>
        <w:rPr>
          <w:lang w:val="en-GB"/>
        </w:rPr>
        <w:t>In Ireland, surveillance</w:t>
      </w:r>
      <w:r w:rsidR="00EE47AE">
        <w:rPr>
          <w:lang w:val="en-GB"/>
        </w:rPr>
        <w:t xml:space="preserve"> for </w:t>
      </w:r>
      <w:r>
        <w:rPr>
          <w:i/>
          <w:lang w:val="en-GB"/>
        </w:rPr>
        <w:t>E. multilocularis</w:t>
      </w:r>
      <w:r w:rsidR="00EE47AE">
        <w:rPr>
          <w:lang w:val="en-GB"/>
        </w:rPr>
        <w:t xml:space="preserve"> is carried out in accordance </w:t>
      </w:r>
      <w:r>
        <w:rPr>
          <w:lang w:val="en-GB"/>
        </w:rPr>
        <w:t xml:space="preserve">with Regulation (EU) No </w:t>
      </w:r>
      <w:r w:rsidR="00445366" w:rsidRPr="00445366">
        <w:rPr>
          <w:lang w:val="en-GB"/>
        </w:rPr>
        <w:t>2018/772</w:t>
      </w:r>
      <w:r w:rsidR="007562A9">
        <w:rPr>
          <w:lang w:val="en-GB"/>
        </w:rPr>
        <w:t>.</w:t>
      </w:r>
      <w:r w:rsidR="00120DC5">
        <w:rPr>
          <w:lang w:val="en-GB"/>
        </w:rPr>
        <w:t xml:space="preserve">  </w:t>
      </w:r>
      <w:r w:rsidR="006A2530">
        <w:rPr>
          <w:lang w:val="en-GB"/>
        </w:rPr>
        <w:t>Ireland carries out sur</w:t>
      </w:r>
      <w:r w:rsidR="004D479B">
        <w:rPr>
          <w:lang w:val="en-GB"/>
        </w:rPr>
        <w:t>veillance as set out in Annex I</w:t>
      </w:r>
      <w:r w:rsidR="00C54098">
        <w:rPr>
          <w:lang w:val="en-GB"/>
        </w:rPr>
        <w:t xml:space="preserve"> of</w:t>
      </w:r>
      <w:r w:rsidR="006A2530">
        <w:rPr>
          <w:lang w:val="en-GB"/>
        </w:rPr>
        <w:t xml:space="preserve"> Regulation </w:t>
      </w:r>
      <w:r w:rsidR="00C54098">
        <w:rPr>
          <w:lang w:val="en-GB"/>
        </w:rPr>
        <w:t xml:space="preserve">2018/772, </w:t>
      </w:r>
      <w:r w:rsidR="006A2530">
        <w:rPr>
          <w:lang w:val="en-GB"/>
        </w:rPr>
        <w:t xml:space="preserve">in order to be listed as a country which is free from </w:t>
      </w:r>
      <w:r w:rsidR="006A2530" w:rsidRPr="00D41B36">
        <w:rPr>
          <w:i/>
          <w:lang w:val="en-GB"/>
        </w:rPr>
        <w:t>E. multilocularis</w:t>
      </w:r>
      <w:r w:rsidR="006A2530">
        <w:rPr>
          <w:lang w:val="en-GB"/>
        </w:rPr>
        <w:t xml:space="preserve">. </w:t>
      </w:r>
      <w:r w:rsidR="006E2E41">
        <w:rPr>
          <w:lang w:val="en-GB"/>
        </w:rPr>
        <w:t xml:space="preserve">This allows Ireland to insist that pets are treated for echinococcosis prior to entry into this country. </w:t>
      </w:r>
      <w:r w:rsidR="006A2530">
        <w:rPr>
          <w:lang w:val="en-GB"/>
        </w:rPr>
        <w:t xml:space="preserve">In Ireland the only wild (potential) definitive host is the red fox, so that species is the target of the </w:t>
      </w:r>
      <w:r w:rsidR="004D479B">
        <w:rPr>
          <w:lang w:val="en-GB"/>
        </w:rPr>
        <w:t>surveillance programme. Annex I</w:t>
      </w:r>
      <w:r w:rsidR="006A2530">
        <w:rPr>
          <w:lang w:val="en-GB"/>
        </w:rPr>
        <w:t xml:space="preserve"> specifies a design prevalence of 0.01</w:t>
      </w:r>
      <w:r w:rsidR="006E2E41">
        <w:rPr>
          <w:lang w:val="en-GB"/>
        </w:rPr>
        <w:t xml:space="preserve"> </w:t>
      </w:r>
      <w:r w:rsidR="006A2530">
        <w:rPr>
          <w:lang w:val="en-GB"/>
        </w:rPr>
        <w:t>and a system sensitivity of 0.95</w:t>
      </w:r>
      <w:r w:rsidR="006E2E41">
        <w:rPr>
          <w:lang w:val="en-GB"/>
        </w:rPr>
        <w:t xml:space="preserve"> for the surveillance. In accordance with previous </w:t>
      </w:r>
      <w:r w:rsidR="00D41B36">
        <w:rPr>
          <w:lang w:val="en-GB"/>
        </w:rPr>
        <w:t xml:space="preserve">formal </w:t>
      </w:r>
      <w:r w:rsidR="006E2E41">
        <w:rPr>
          <w:lang w:val="en-GB"/>
        </w:rPr>
        <w:t>estimates,</w:t>
      </w:r>
      <w:r w:rsidR="006A2530">
        <w:rPr>
          <w:lang w:val="en-GB"/>
        </w:rPr>
        <w:t xml:space="preserve"> a figure of 150,000 is used</w:t>
      </w:r>
      <w:r w:rsidR="006E2E41">
        <w:rPr>
          <w:lang w:val="en-GB"/>
        </w:rPr>
        <w:t xml:space="preserve"> for the total fox population</w:t>
      </w:r>
      <w:r w:rsidR="006A2530">
        <w:rPr>
          <w:lang w:val="en-GB"/>
        </w:rPr>
        <w:t xml:space="preserve"> in the surveillance sample size calculation. </w:t>
      </w:r>
    </w:p>
    <w:p w14:paraId="6681E208" w14:textId="77777777" w:rsidR="00D81BAD" w:rsidRPr="00DD5D36" w:rsidRDefault="00D81BAD" w:rsidP="00600452">
      <w:pPr>
        <w:jc w:val="both"/>
        <w:rPr>
          <w:lang w:val="en-GB"/>
        </w:rPr>
      </w:pPr>
    </w:p>
    <w:p w14:paraId="6681E209" w14:textId="77777777" w:rsidR="00A722F6" w:rsidRDefault="00A722F6" w:rsidP="00600452">
      <w:pPr>
        <w:pStyle w:val="Heading1"/>
        <w:jc w:val="both"/>
        <w:rPr>
          <w:lang w:val="en-GB"/>
        </w:rPr>
      </w:pPr>
      <w:r>
        <w:rPr>
          <w:lang w:val="en-GB"/>
        </w:rPr>
        <w:t>Active surveillance</w:t>
      </w:r>
    </w:p>
    <w:p w14:paraId="6681E20A" w14:textId="77777777" w:rsidR="00EE47AE" w:rsidRPr="00EE47AE" w:rsidRDefault="006E2E41" w:rsidP="00600452">
      <w:pPr>
        <w:jc w:val="both"/>
        <w:rPr>
          <w:lang w:val="en-GB"/>
        </w:rPr>
      </w:pPr>
      <w:r>
        <w:rPr>
          <w:lang w:val="en-GB"/>
        </w:rPr>
        <w:t xml:space="preserve">The red foxes tested for this study include some foxes which have been shot by hunters, and some foxes which have died as a result of road traffic accidents. The foxes are tested in the laboratory operated by the </w:t>
      </w:r>
      <w:r w:rsidR="005A540D">
        <w:rPr>
          <w:lang w:val="en-GB"/>
        </w:rPr>
        <w:t>Department of Agriculture, Food and the Marine (DAFM)</w:t>
      </w:r>
      <w:r>
        <w:rPr>
          <w:lang w:val="en-GB"/>
        </w:rPr>
        <w:t xml:space="preserve"> in Backweston</w:t>
      </w:r>
      <w:r w:rsidR="00EE47AE">
        <w:rPr>
          <w:lang w:val="en-GB"/>
        </w:rPr>
        <w:t>. Results of testing for recent years are as follows:</w:t>
      </w:r>
    </w:p>
    <w:p w14:paraId="6681E20B" w14:textId="77777777" w:rsidR="001E0D6F" w:rsidRDefault="001E0D6F" w:rsidP="00600452">
      <w:pPr>
        <w:pStyle w:val="Default"/>
        <w:jc w:val="both"/>
      </w:pPr>
    </w:p>
    <w:p w14:paraId="2C14E0A1" w14:textId="77777777" w:rsidR="00600452" w:rsidRDefault="00600452" w:rsidP="00600452">
      <w:pPr>
        <w:pStyle w:val="Default"/>
        <w:jc w:val="both"/>
      </w:pPr>
    </w:p>
    <w:p w14:paraId="17E71708" w14:textId="77777777" w:rsidR="00600452" w:rsidRDefault="00600452" w:rsidP="00600452">
      <w:pPr>
        <w:pStyle w:val="Default"/>
        <w:jc w:val="both"/>
      </w:pPr>
    </w:p>
    <w:p w14:paraId="69298004" w14:textId="77777777" w:rsidR="00600452" w:rsidRDefault="00600452" w:rsidP="00600452">
      <w:pPr>
        <w:pStyle w:val="Default"/>
        <w:jc w:val="both"/>
      </w:pPr>
    </w:p>
    <w:p w14:paraId="6681E20C" w14:textId="77777777" w:rsidR="00D41B36" w:rsidRDefault="00D41B36" w:rsidP="00600452">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0"/>
        <w:gridCol w:w="1750"/>
        <w:gridCol w:w="1750"/>
        <w:gridCol w:w="1750"/>
      </w:tblGrid>
      <w:tr w:rsidR="00D41B36" w14:paraId="6681E211" w14:textId="77777777" w:rsidTr="00CD544A">
        <w:trPr>
          <w:trHeight w:val="416"/>
        </w:trPr>
        <w:tc>
          <w:tcPr>
            <w:tcW w:w="1750" w:type="dxa"/>
            <w:shd w:val="clear" w:color="auto" w:fill="F2EDCE" w:themeFill="accent1" w:themeFillTint="33"/>
          </w:tcPr>
          <w:p w14:paraId="6681E20D" w14:textId="77777777" w:rsidR="00D41B36" w:rsidRDefault="00D41B36" w:rsidP="00600452">
            <w:pPr>
              <w:pStyle w:val="Default"/>
              <w:jc w:val="both"/>
              <w:rPr>
                <w:sz w:val="22"/>
                <w:szCs w:val="22"/>
              </w:rPr>
            </w:pPr>
            <w:r>
              <w:lastRenderedPageBreak/>
              <w:t xml:space="preserve"> </w:t>
            </w:r>
            <w:r>
              <w:rPr>
                <w:b/>
                <w:bCs/>
                <w:sz w:val="22"/>
                <w:szCs w:val="22"/>
              </w:rPr>
              <w:t xml:space="preserve">Year </w:t>
            </w:r>
          </w:p>
        </w:tc>
        <w:tc>
          <w:tcPr>
            <w:tcW w:w="1750" w:type="dxa"/>
            <w:shd w:val="clear" w:color="auto" w:fill="F2EDCE" w:themeFill="accent1" w:themeFillTint="33"/>
          </w:tcPr>
          <w:p w14:paraId="6681E20E" w14:textId="77777777" w:rsidR="00D41B36" w:rsidRDefault="00D41B36" w:rsidP="00600452">
            <w:pPr>
              <w:pStyle w:val="Default"/>
              <w:jc w:val="both"/>
              <w:rPr>
                <w:sz w:val="22"/>
                <w:szCs w:val="22"/>
              </w:rPr>
            </w:pPr>
            <w:r>
              <w:rPr>
                <w:b/>
                <w:bCs/>
                <w:sz w:val="22"/>
                <w:szCs w:val="22"/>
              </w:rPr>
              <w:t xml:space="preserve">Samples tested </w:t>
            </w:r>
          </w:p>
        </w:tc>
        <w:tc>
          <w:tcPr>
            <w:tcW w:w="1750" w:type="dxa"/>
            <w:shd w:val="clear" w:color="auto" w:fill="F2EDCE" w:themeFill="accent1" w:themeFillTint="33"/>
          </w:tcPr>
          <w:p w14:paraId="6681E20F" w14:textId="77777777" w:rsidR="00D41B36" w:rsidRDefault="00D41B36" w:rsidP="00600452">
            <w:pPr>
              <w:pStyle w:val="Default"/>
              <w:jc w:val="both"/>
              <w:rPr>
                <w:sz w:val="22"/>
                <w:szCs w:val="22"/>
              </w:rPr>
            </w:pPr>
            <w:r>
              <w:rPr>
                <w:b/>
                <w:bCs/>
                <w:sz w:val="22"/>
                <w:szCs w:val="22"/>
              </w:rPr>
              <w:t>Positive</w:t>
            </w:r>
          </w:p>
        </w:tc>
        <w:tc>
          <w:tcPr>
            <w:tcW w:w="1750" w:type="dxa"/>
            <w:shd w:val="clear" w:color="auto" w:fill="F2EDCE" w:themeFill="accent1" w:themeFillTint="33"/>
          </w:tcPr>
          <w:p w14:paraId="6681E210" w14:textId="77777777" w:rsidR="00D41B36" w:rsidRDefault="004D479B" w:rsidP="00600452">
            <w:pPr>
              <w:pStyle w:val="Default"/>
              <w:jc w:val="both"/>
              <w:rPr>
                <w:sz w:val="22"/>
                <w:szCs w:val="22"/>
              </w:rPr>
            </w:pPr>
            <w:r>
              <w:rPr>
                <w:b/>
                <w:bCs/>
                <w:sz w:val="22"/>
                <w:szCs w:val="22"/>
              </w:rPr>
              <w:t>Negative</w:t>
            </w:r>
            <w:r w:rsidR="00D41B36">
              <w:rPr>
                <w:b/>
                <w:bCs/>
                <w:sz w:val="22"/>
                <w:szCs w:val="22"/>
              </w:rPr>
              <w:t xml:space="preserve"> </w:t>
            </w:r>
          </w:p>
        </w:tc>
      </w:tr>
      <w:tr w:rsidR="00D41B36" w14:paraId="6681E216" w14:textId="77777777" w:rsidTr="00CD544A">
        <w:trPr>
          <w:trHeight w:val="419"/>
        </w:trPr>
        <w:tc>
          <w:tcPr>
            <w:tcW w:w="1750" w:type="dxa"/>
            <w:shd w:val="clear" w:color="auto" w:fill="F2EDCE" w:themeFill="accent1" w:themeFillTint="33"/>
          </w:tcPr>
          <w:p w14:paraId="6681E212" w14:textId="77777777" w:rsidR="00D41B36" w:rsidRDefault="00D41B36" w:rsidP="00600452">
            <w:pPr>
              <w:pStyle w:val="Default"/>
              <w:jc w:val="both"/>
              <w:rPr>
                <w:sz w:val="22"/>
                <w:szCs w:val="22"/>
              </w:rPr>
            </w:pPr>
            <w:r>
              <w:rPr>
                <w:b/>
                <w:bCs/>
                <w:sz w:val="22"/>
                <w:szCs w:val="22"/>
              </w:rPr>
              <w:t xml:space="preserve">2015 </w:t>
            </w:r>
          </w:p>
        </w:tc>
        <w:tc>
          <w:tcPr>
            <w:tcW w:w="1750" w:type="dxa"/>
            <w:shd w:val="clear" w:color="auto" w:fill="F2EDCE" w:themeFill="accent1" w:themeFillTint="33"/>
          </w:tcPr>
          <w:p w14:paraId="6681E213" w14:textId="77777777" w:rsidR="00D41B36" w:rsidRDefault="00D41B36" w:rsidP="00600452">
            <w:pPr>
              <w:pStyle w:val="Default"/>
              <w:jc w:val="both"/>
              <w:rPr>
                <w:sz w:val="22"/>
                <w:szCs w:val="22"/>
              </w:rPr>
            </w:pPr>
            <w:r>
              <w:rPr>
                <w:b/>
                <w:bCs/>
                <w:sz w:val="22"/>
                <w:szCs w:val="22"/>
              </w:rPr>
              <w:t>398</w:t>
            </w:r>
          </w:p>
        </w:tc>
        <w:tc>
          <w:tcPr>
            <w:tcW w:w="1750" w:type="dxa"/>
            <w:shd w:val="clear" w:color="auto" w:fill="F2EDCE" w:themeFill="accent1" w:themeFillTint="33"/>
          </w:tcPr>
          <w:p w14:paraId="6681E214" w14:textId="77777777" w:rsidR="00D41B36" w:rsidRDefault="00D41B36" w:rsidP="00600452">
            <w:pPr>
              <w:pStyle w:val="Default"/>
              <w:jc w:val="both"/>
              <w:rPr>
                <w:sz w:val="22"/>
                <w:szCs w:val="22"/>
              </w:rPr>
            </w:pPr>
            <w:r>
              <w:rPr>
                <w:b/>
                <w:bCs/>
                <w:sz w:val="22"/>
                <w:szCs w:val="22"/>
              </w:rPr>
              <w:t>0</w:t>
            </w:r>
          </w:p>
        </w:tc>
        <w:tc>
          <w:tcPr>
            <w:tcW w:w="1750" w:type="dxa"/>
            <w:shd w:val="clear" w:color="auto" w:fill="F2EDCE" w:themeFill="accent1" w:themeFillTint="33"/>
          </w:tcPr>
          <w:p w14:paraId="6681E215" w14:textId="77777777" w:rsidR="00D41B36" w:rsidRDefault="00D41B36" w:rsidP="00600452">
            <w:pPr>
              <w:pStyle w:val="Default"/>
              <w:jc w:val="both"/>
              <w:rPr>
                <w:sz w:val="22"/>
                <w:szCs w:val="22"/>
              </w:rPr>
            </w:pPr>
            <w:r>
              <w:rPr>
                <w:b/>
                <w:bCs/>
                <w:sz w:val="22"/>
                <w:szCs w:val="22"/>
              </w:rPr>
              <w:t>398</w:t>
            </w:r>
          </w:p>
        </w:tc>
      </w:tr>
      <w:tr w:rsidR="00D41B36" w14:paraId="6681E21B" w14:textId="77777777" w:rsidTr="00CD544A">
        <w:trPr>
          <w:trHeight w:val="413"/>
        </w:trPr>
        <w:tc>
          <w:tcPr>
            <w:tcW w:w="1750" w:type="dxa"/>
            <w:shd w:val="clear" w:color="auto" w:fill="F2EDCE" w:themeFill="accent1" w:themeFillTint="33"/>
          </w:tcPr>
          <w:p w14:paraId="6681E217" w14:textId="77777777" w:rsidR="00D41B36" w:rsidRDefault="00D41B36" w:rsidP="00600452">
            <w:pPr>
              <w:pStyle w:val="Default"/>
              <w:jc w:val="both"/>
              <w:rPr>
                <w:sz w:val="22"/>
                <w:szCs w:val="22"/>
              </w:rPr>
            </w:pPr>
            <w:r>
              <w:rPr>
                <w:b/>
                <w:bCs/>
                <w:sz w:val="22"/>
                <w:szCs w:val="22"/>
              </w:rPr>
              <w:t xml:space="preserve">2016 </w:t>
            </w:r>
          </w:p>
        </w:tc>
        <w:tc>
          <w:tcPr>
            <w:tcW w:w="1750" w:type="dxa"/>
            <w:shd w:val="clear" w:color="auto" w:fill="F2EDCE" w:themeFill="accent1" w:themeFillTint="33"/>
          </w:tcPr>
          <w:p w14:paraId="6681E218" w14:textId="77777777" w:rsidR="00D41B36" w:rsidRDefault="00D41B36" w:rsidP="00600452">
            <w:pPr>
              <w:pStyle w:val="Default"/>
              <w:jc w:val="both"/>
              <w:rPr>
                <w:sz w:val="22"/>
                <w:szCs w:val="22"/>
              </w:rPr>
            </w:pPr>
            <w:r>
              <w:rPr>
                <w:b/>
                <w:bCs/>
                <w:sz w:val="22"/>
                <w:szCs w:val="22"/>
              </w:rPr>
              <w:t>405</w:t>
            </w:r>
          </w:p>
        </w:tc>
        <w:tc>
          <w:tcPr>
            <w:tcW w:w="1750" w:type="dxa"/>
            <w:shd w:val="clear" w:color="auto" w:fill="F2EDCE" w:themeFill="accent1" w:themeFillTint="33"/>
          </w:tcPr>
          <w:p w14:paraId="6681E219" w14:textId="77777777" w:rsidR="00D41B36" w:rsidRDefault="00D41B36" w:rsidP="00600452">
            <w:pPr>
              <w:pStyle w:val="Default"/>
              <w:jc w:val="both"/>
              <w:rPr>
                <w:sz w:val="22"/>
                <w:szCs w:val="22"/>
              </w:rPr>
            </w:pPr>
            <w:r>
              <w:rPr>
                <w:b/>
                <w:bCs/>
                <w:sz w:val="22"/>
                <w:szCs w:val="22"/>
              </w:rPr>
              <w:t>0</w:t>
            </w:r>
          </w:p>
        </w:tc>
        <w:tc>
          <w:tcPr>
            <w:tcW w:w="1750" w:type="dxa"/>
            <w:shd w:val="clear" w:color="auto" w:fill="F2EDCE" w:themeFill="accent1" w:themeFillTint="33"/>
          </w:tcPr>
          <w:p w14:paraId="6681E21A" w14:textId="77777777" w:rsidR="00D41B36" w:rsidRDefault="00D41B36" w:rsidP="00600452">
            <w:pPr>
              <w:pStyle w:val="Default"/>
              <w:jc w:val="both"/>
              <w:rPr>
                <w:sz w:val="22"/>
                <w:szCs w:val="22"/>
              </w:rPr>
            </w:pPr>
            <w:r>
              <w:rPr>
                <w:b/>
                <w:bCs/>
                <w:sz w:val="22"/>
                <w:szCs w:val="22"/>
              </w:rPr>
              <w:t>405</w:t>
            </w:r>
          </w:p>
        </w:tc>
      </w:tr>
      <w:tr w:rsidR="00D41B36" w14:paraId="6681E220" w14:textId="77777777" w:rsidTr="00CD544A">
        <w:trPr>
          <w:trHeight w:val="427"/>
        </w:trPr>
        <w:tc>
          <w:tcPr>
            <w:tcW w:w="1750" w:type="dxa"/>
            <w:shd w:val="clear" w:color="auto" w:fill="F2EDCE" w:themeFill="accent1" w:themeFillTint="33"/>
          </w:tcPr>
          <w:p w14:paraId="6681E21C" w14:textId="77777777" w:rsidR="00D41B36" w:rsidRDefault="00D41B36" w:rsidP="00600452">
            <w:pPr>
              <w:pStyle w:val="Default"/>
              <w:jc w:val="both"/>
              <w:rPr>
                <w:b/>
                <w:bCs/>
                <w:sz w:val="22"/>
                <w:szCs w:val="22"/>
              </w:rPr>
            </w:pPr>
            <w:r>
              <w:rPr>
                <w:b/>
                <w:bCs/>
                <w:sz w:val="22"/>
                <w:szCs w:val="22"/>
              </w:rPr>
              <w:t>2017</w:t>
            </w:r>
          </w:p>
        </w:tc>
        <w:tc>
          <w:tcPr>
            <w:tcW w:w="1750" w:type="dxa"/>
            <w:shd w:val="clear" w:color="auto" w:fill="F2EDCE" w:themeFill="accent1" w:themeFillTint="33"/>
          </w:tcPr>
          <w:p w14:paraId="6681E21D" w14:textId="77777777" w:rsidR="00D41B36" w:rsidRDefault="003D29E0" w:rsidP="00600452">
            <w:pPr>
              <w:pStyle w:val="Default"/>
              <w:jc w:val="both"/>
              <w:rPr>
                <w:b/>
                <w:bCs/>
                <w:sz w:val="22"/>
                <w:szCs w:val="22"/>
              </w:rPr>
            </w:pPr>
            <w:r>
              <w:rPr>
                <w:b/>
                <w:bCs/>
                <w:sz w:val="22"/>
                <w:szCs w:val="22"/>
              </w:rPr>
              <w:t>405</w:t>
            </w:r>
          </w:p>
        </w:tc>
        <w:tc>
          <w:tcPr>
            <w:tcW w:w="1750" w:type="dxa"/>
            <w:shd w:val="clear" w:color="auto" w:fill="F2EDCE" w:themeFill="accent1" w:themeFillTint="33"/>
          </w:tcPr>
          <w:p w14:paraId="6681E21E" w14:textId="77777777" w:rsidR="00D41B36" w:rsidRDefault="00D41B36" w:rsidP="00600452">
            <w:pPr>
              <w:pStyle w:val="Default"/>
              <w:jc w:val="both"/>
              <w:rPr>
                <w:b/>
                <w:bCs/>
                <w:sz w:val="22"/>
                <w:szCs w:val="22"/>
              </w:rPr>
            </w:pPr>
            <w:r>
              <w:rPr>
                <w:b/>
                <w:bCs/>
                <w:sz w:val="22"/>
                <w:szCs w:val="22"/>
              </w:rPr>
              <w:t>0</w:t>
            </w:r>
          </w:p>
        </w:tc>
        <w:tc>
          <w:tcPr>
            <w:tcW w:w="1750" w:type="dxa"/>
            <w:shd w:val="clear" w:color="auto" w:fill="F2EDCE" w:themeFill="accent1" w:themeFillTint="33"/>
          </w:tcPr>
          <w:p w14:paraId="6681E21F" w14:textId="77777777" w:rsidR="00D41B36" w:rsidRDefault="003D29E0" w:rsidP="00600452">
            <w:pPr>
              <w:pStyle w:val="Default"/>
              <w:jc w:val="both"/>
              <w:rPr>
                <w:b/>
                <w:bCs/>
                <w:sz w:val="22"/>
                <w:szCs w:val="22"/>
              </w:rPr>
            </w:pPr>
            <w:r>
              <w:rPr>
                <w:b/>
                <w:bCs/>
                <w:sz w:val="22"/>
                <w:szCs w:val="22"/>
              </w:rPr>
              <w:t>405</w:t>
            </w:r>
          </w:p>
        </w:tc>
      </w:tr>
      <w:tr w:rsidR="00D41B36" w14:paraId="6681E225" w14:textId="77777777" w:rsidTr="00CD544A">
        <w:trPr>
          <w:trHeight w:val="398"/>
        </w:trPr>
        <w:tc>
          <w:tcPr>
            <w:tcW w:w="1750" w:type="dxa"/>
            <w:shd w:val="clear" w:color="auto" w:fill="F2EDCE" w:themeFill="accent1" w:themeFillTint="33"/>
          </w:tcPr>
          <w:p w14:paraId="6681E221" w14:textId="77777777" w:rsidR="00D41B36" w:rsidRDefault="00D41B36" w:rsidP="00600452">
            <w:pPr>
              <w:pStyle w:val="Default"/>
              <w:jc w:val="both"/>
              <w:rPr>
                <w:b/>
                <w:bCs/>
                <w:sz w:val="22"/>
                <w:szCs w:val="22"/>
              </w:rPr>
            </w:pPr>
            <w:r>
              <w:rPr>
                <w:b/>
                <w:bCs/>
                <w:sz w:val="22"/>
                <w:szCs w:val="22"/>
              </w:rPr>
              <w:t>2018</w:t>
            </w:r>
          </w:p>
        </w:tc>
        <w:tc>
          <w:tcPr>
            <w:tcW w:w="1750" w:type="dxa"/>
            <w:shd w:val="clear" w:color="auto" w:fill="F2EDCE" w:themeFill="accent1" w:themeFillTint="33"/>
          </w:tcPr>
          <w:p w14:paraId="6681E222" w14:textId="77777777" w:rsidR="00D41B36" w:rsidRDefault="00D41B36" w:rsidP="00600452">
            <w:pPr>
              <w:pStyle w:val="Default"/>
              <w:jc w:val="both"/>
              <w:rPr>
                <w:b/>
                <w:bCs/>
                <w:sz w:val="22"/>
                <w:szCs w:val="22"/>
              </w:rPr>
            </w:pPr>
            <w:r>
              <w:rPr>
                <w:b/>
                <w:bCs/>
                <w:sz w:val="22"/>
                <w:szCs w:val="22"/>
              </w:rPr>
              <w:t>403</w:t>
            </w:r>
          </w:p>
        </w:tc>
        <w:tc>
          <w:tcPr>
            <w:tcW w:w="1750" w:type="dxa"/>
            <w:shd w:val="clear" w:color="auto" w:fill="F2EDCE" w:themeFill="accent1" w:themeFillTint="33"/>
          </w:tcPr>
          <w:p w14:paraId="6681E223" w14:textId="77777777" w:rsidR="00D41B36" w:rsidRDefault="00D41B36" w:rsidP="00600452">
            <w:pPr>
              <w:pStyle w:val="Default"/>
              <w:jc w:val="both"/>
              <w:rPr>
                <w:b/>
                <w:bCs/>
                <w:sz w:val="22"/>
                <w:szCs w:val="22"/>
              </w:rPr>
            </w:pPr>
            <w:r>
              <w:rPr>
                <w:b/>
                <w:bCs/>
                <w:sz w:val="22"/>
                <w:szCs w:val="22"/>
              </w:rPr>
              <w:t>0</w:t>
            </w:r>
          </w:p>
        </w:tc>
        <w:tc>
          <w:tcPr>
            <w:tcW w:w="1750" w:type="dxa"/>
            <w:shd w:val="clear" w:color="auto" w:fill="F2EDCE" w:themeFill="accent1" w:themeFillTint="33"/>
          </w:tcPr>
          <w:p w14:paraId="6681E224" w14:textId="77777777" w:rsidR="00D41B36" w:rsidRDefault="00D41B36" w:rsidP="00600452">
            <w:pPr>
              <w:pStyle w:val="Default"/>
              <w:jc w:val="both"/>
              <w:rPr>
                <w:b/>
                <w:bCs/>
                <w:sz w:val="22"/>
                <w:szCs w:val="22"/>
              </w:rPr>
            </w:pPr>
            <w:r>
              <w:rPr>
                <w:b/>
                <w:bCs/>
                <w:sz w:val="22"/>
                <w:szCs w:val="22"/>
              </w:rPr>
              <w:t>403</w:t>
            </w:r>
          </w:p>
        </w:tc>
      </w:tr>
      <w:tr w:rsidR="00B277DE" w14:paraId="6681E22A" w14:textId="77777777" w:rsidTr="00CD544A">
        <w:trPr>
          <w:trHeight w:val="417"/>
        </w:trPr>
        <w:tc>
          <w:tcPr>
            <w:tcW w:w="1750" w:type="dxa"/>
            <w:shd w:val="clear" w:color="auto" w:fill="F2EDCE" w:themeFill="accent1" w:themeFillTint="33"/>
          </w:tcPr>
          <w:p w14:paraId="6681E226" w14:textId="77777777" w:rsidR="00B277DE" w:rsidRDefault="00B277DE" w:rsidP="00600452">
            <w:pPr>
              <w:pStyle w:val="Default"/>
              <w:jc w:val="both"/>
              <w:rPr>
                <w:b/>
                <w:bCs/>
                <w:sz w:val="22"/>
                <w:szCs w:val="22"/>
              </w:rPr>
            </w:pPr>
            <w:r>
              <w:rPr>
                <w:b/>
                <w:bCs/>
                <w:sz w:val="22"/>
                <w:szCs w:val="22"/>
              </w:rPr>
              <w:t>2019</w:t>
            </w:r>
          </w:p>
        </w:tc>
        <w:tc>
          <w:tcPr>
            <w:tcW w:w="1750" w:type="dxa"/>
            <w:shd w:val="clear" w:color="auto" w:fill="F2EDCE" w:themeFill="accent1" w:themeFillTint="33"/>
          </w:tcPr>
          <w:p w14:paraId="6681E227" w14:textId="77777777" w:rsidR="00B277DE" w:rsidRDefault="00B277DE" w:rsidP="00600452">
            <w:pPr>
              <w:pStyle w:val="Default"/>
              <w:jc w:val="both"/>
              <w:rPr>
                <w:b/>
                <w:bCs/>
                <w:sz w:val="22"/>
                <w:szCs w:val="22"/>
              </w:rPr>
            </w:pPr>
            <w:r>
              <w:rPr>
                <w:b/>
                <w:bCs/>
                <w:sz w:val="22"/>
                <w:szCs w:val="22"/>
              </w:rPr>
              <w:t>400</w:t>
            </w:r>
          </w:p>
        </w:tc>
        <w:tc>
          <w:tcPr>
            <w:tcW w:w="1750" w:type="dxa"/>
            <w:shd w:val="clear" w:color="auto" w:fill="F2EDCE" w:themeFill="accent1" w:themeFillTint="33"/>
          </w:tcPr>
          <w:p w14:paraId="6681E228" w14:textId="77777777" w:rsidR="00B277DE" w:rsidRDefault="00B277DE" w:rsidP="00600452">
            <w:pPr>
              <w:pStyle w:val="Default"/>
              <w:jc w:val="both"/>
              <w:rPr>
                <w:b/>
                <w:bCs/>
                <w:sz w:val="22"/>
                <w:szCs w:val="22"/>
              </w:rPr>
            </w:pPr>
            <w:r>
              <w:rPr>
                <w:b/>
                <w:bCs/>
                <w:sz w:val="22"/>
                <w:szCs w:val="22"/>
              </w:rPr>
              <w:t>0</w:t>
            </w:r>
          </w:p>
        </w:tc>
        <w:tc>
          <w:tcPr>
            <w:tcW w:w="1750" w:type="dxa"/>
            <w:shd w:val="clear" w:color="auto" w:fill="F2EDCE" w:themeFill="accent1" w:themeFillTint="33"/>
          </w:tcPr>
          <w:p w14:paraId="6681E229" w14:textId="77777777" w:rsidR="00B277DE" w:rsidRDefault="00B277DE" w:rsidP="00600452">
            <w:pPr>
              <w:pStyle w:val="Default"/>
              <w:jc w:val="both"/>
              <w:rPr>
                <w:b/>
                <w:bCs/>
                <w:sz w:val="22"/>
                <w:szCs w:val="22"/>
              </w:rPr>
            </w:pPr>
            <w:r>
              <w:rPr>
                <w:b/>
                <w:bCs/>
                <w:sz w:val="22"/>
                <w:szCs w:val="22"/>
              </w:rPr>
              <w:t>400</w:t>
            </w:r>
          </w:p>
        </w:tc>
      </w:tr>
      <w:tr w:rsidR="00AF16D6" w14:paraId="1FAB0A84" w14:textId="77777777" w:rsidTr="00CD544A">
        <w:trPr>
          <w:trHeight w:val="417"/>
        </w:trPr>
        <w:tc>
          <w:tcPr>
            <w:tcW w:w="1750" w:type="dxa"/>
            <w:shd w:val="clear" w:color="auto" w:fill="F2EDCE" w:themeFill="accent1" w:themeFillTint="33"/>
          </w:tcPr>
          <w:p w14:paraId="2D92639E" w14:textId="20CB3739" w:rsidR="00AF16D6" w:rsidRDefault="00AF16D6" w:rsidP="00600452">
            <w:pPr>
              <w:pStyle w:val="Default"/>
              <w:jc w:val="both"/>
              <w:rPr>
                <w:b/>
                <w:bCs/>
                <w:sz w:val="22"/>
                <w:szCs w:val="22"/>
              </w:rPr>
            </w:pPr>
            <w:r>
              <w:rPr>
                <w:b/>
                <w:bCs/>
                <w:sz w:val="22"/>
                <w:szCs w:val="22"/>
              </w:rPr>
              <w:t>2020</w:t>
            </w:r>
          </w:p>
        </w:tc>
        <w:tc>
          <w:tcPr>
            <w:tcW w:w="1750" w:type="dxa"/>
            <w:shd w:val="clear" w:color="auto" w:fill="F2EDCE" w:themeFill="accent1" w:themeFillTint="33"/>
          </w:tcPr>
          <w:p w14:paraId="6404667C" w14:textId="59CD8ACF" w:rsidR="00AF16D6" w:rsidRDefault="00AF16D6" w:rsidP="00600452">
            <w:pPr>
              <w:pStyle w:val="Default"/>
              <w:jc w:val="both"/>
              <w:rPr>
                <w:b/>
                <w:bCs/>
                <w:sz w:val="22"/>
                <w:szCs w:val="22"/>
              </w:rPr>
            </w:pPr>
            <w:r>
              <w:rPr>
                <w:b/>
                <w:bCs/>
                <w:sz w:val="22"/>
                <w:szCs w:val="22"/>
              </w:rPr>
              <w:t>404</w:t>
            </w:r>
          </w:p>
        </w:tc>
        <w:tc>
          <w:tcPr>
            <w:tcW w:w="1750" w:type="dxa"/>
            <w:shd w:val="clear" w:color="auto" w:fill="F2EDCE" w:themeFill="accent1" w:themeFillTint="33"/>
          </w:tcPr>
          <w:p w14:paraId="17DC84D5" w14:textId="20AC7A0A" w:rsidR="00AF16D6" w:rsidRDefault="00AF16D6" w:rsidP="00600452">
            <w:pPr>
              <w:pStyle w:val="Default"/>
              <w:jc w:val="both"/>
              <w:rPr>
                <w:b/>
                <w:bCs/>
                <w:sz w:val="22"/>
                <w:szCs w:val="22"/>
              </w:rPr>
            </w:pPr>
            <w:r>
              <w:rPr>
                <w:b/>
                <w:bCs/>
                <w:sz w:val="22"/>
                <w:szCs w:val="22"/>
              </w:rPr>
              <w:t>0</w:t>
            </w:r>
          </w:p>
        </w:tc>
        <w:tc>
          <w:tcPr>
            <w:tcW w:w="1750" w:type="dxa"/>
            <w:shd w:val="clear" w:color="auto" w:fill="F2EDCE" w:themeFill="accent1" w:themeFillTint="33"/>
          </w:tcPr>
          <w:p w14:paraId="01E0946F" w14:textId="509201FB" w:rsidR="00AF16D6" w:rsidRDefault="00AF16D6" w:rsidP="00600452">
            <w:pPr>
              <w:pStyle w:val="Default"/>
              <w:jc w:val="both"/>
              <w:rPr>
                <w:b/>
                <w:bCs/>
                <w:sz w:val="22"/>
                <w:szCs w:val="22"/>
              </w:rPr>
            </w:pPr>
            <w:r>
              <w:rPr>
                <w:b/>
                <w:bCs/>
                <w:sz w:val="22"/>
                <w:szCs w:val="22"/>
              </w:rPr>
              <w:t>404</w:t>
            </w:r>
          </w:p>
        </w:tc>
      </w:tr>
      <w:tr w:rsidR="00AF16D6" w14:paraId="57CB73EB" w14:textId="77777777" w:rsidTr="00CD544A">
        <w:trPr>
          <w:trHeight w:val="417"/>
        </w:trPr>
        <w:tc>
          <w:tcPr>
            <w:tcW w:w="1750" w:type="dxa"/>
            <w:shd w:val="clear" w:color="auto" w:fill="F2EDCE" w:themeFill="accent1" w:themeFillTint="33"/>
          </w:tcPr>
          <w:p w14:paraId="52DBBCE4" w14:textId="318B4703" w:rsidR="00AF16D6" w:rsidRDefault="00AF16D6" w:rsidP="00600452">
            <w:pPr>
              <w:pStyle w:val="Default"/>
              <w:jc w:val="both"/>
              <w:rPr>
                <w:b/>
                <w:bCs/>
                <w:sz w:val="22"/>
                <w:szCs w:val="22"/>
              </w:rPr>
            </w:pPr>
            <w:r>
              <w:rPr>
                <w:b/>
                <w:bCs/>
                <w:sz w:val="22"/>
                <w:szCs w:val="22"/>
              </w:rPr>
              <w:t>2021</w:t>
            </w:r>
          </w:p>
        </w:tc>
        <w:tc>
          <w:tcPr>
            <w:tcW w:w="1750" w:type="dxa"/>
            <w:shd w:val="clear" w:color="auto" w:fill="F2EDCE" w:themeFill="accent1" w:themeFillTint="33"/>
          </w:tcPr>
          <w:p w14:paraId="52EA5576" w14:textId="67A6D385" w:rsidR="00AF16D6" w:rsidRDefault="00AF16D6" w:rsidP="00600452">
            <w:pPr>
              <w:pStyle w:val="Default"/>
              <w:jc w:val="both"/>
              <w:rPr>
                <w:b/>
                <w:bCs/>
                <w:sz w:val="22"/>
                <w:szCs w:val="22"/>
              </w:rPr>
            </w:pPr>
            <w:r>
              <w:rPr>
                <w:b/>
                <w:bCs/>
                <w:sz w:val="22"/>
                <w:szCs w:val="22"/>
              </w:rPr>
              <w:t>398</w:t>
            </w:r>
          </w:p>
        </w:tc>
        <w:tc>
          <w:tcPr>
            <w:tcW w:w="1750" w:type="dxa"/>
            <w:shd w:val="clear" w:color="auto" w:fill="F2EDCE" w:themeFill="accent1" w:themeFillTint="33"/>
          </w:tcPr>
          <w:p w14:paraId="02DD7985" w14:textId="13D28C4E" w:rsidR="00AF16D6" w:rsidRDefault="00AF16D6" w:rsidP="00600452">
            <w:pPr>
              <w:pStyle w:val="Default"/>
              <w:jc w:val="both"/>
              <w:rPr>
                <w:b/>
                <w:bCs/>
                <w:sz w:val="22"/>
                <w:szCs w:val="22"/>
              </w:rPr>
            </w:pPr>
            <w:r>
              <w:rPr>
                <w:b/>
                <w:bCs/>
                <w:sz w:val="22"/>
                <w:szCs w:val="22"/>
              </w:rPr>
              <w:t>0</w:t>
            </w:r>
          </w:p>
        </w:tc>
        <w:tc>
          <w:tcPr>
            <w:tcW w:w="1750" w:type="dxa"/>
            <w:shd w:val="clear" w:color="auto" w:fill="F2EDCE" w:themeFill="accent1" w:themeFillTint="33"/>
          </w:tcPr>
          <w:p w14:paraId="058B9B24" w14:textId="0F6FFF37" w:rsidR="00AF16D6" w:rsidRDefault="00AF16D6" w:rsidP="00600452">
            <w:pPr>
              <w:pStyle w:val="Default"/>
              <w:jc w:val="both"/>
              <w:rPr>
                <w:b/>
                <w:bCs/>
                <w:sz w:val="22"/>
                <w:szCs w:val="22"/>
              </w:rPr>
            </w:pPr>
            <w:r>
              <w:rPr>
                <w:b/>
                <w:bCs/>
                <w:sz w:val="22"/>
                <w:szCs w:val="22"/>
              </w:rPr>
              <w:t>398</w:t>
            </w:r>
          </w:p>
        </w:tc>
      </w:tr>
      <w:tr w:rsidR="00AF16D6" w14:paraId="58FFB639" w14:textId="77777777" w:rsidTr="00CD544A">
        <w:trPr>
          <w:trHeight w:val="417"/>
        </w:trPr>
        <w:tc>
          <w:tcPr>
            <w:tcW w:w="1750" w:type="dxa"/>
            <w:shd w:val="clear" w:color="auto" w:fill="F2EDCE" w:themeFill="accent1" w:themeFillTint="33"/>
          </w:tcPr>
          <w:p w14:paraId="3FF5C850" w14:textId="0FAA9985" w:rsidR="00AF16D6" w:rsidRDefault="00AF16D6" w:rsidP="00600452">
            <w:pPr>
              <w:pStyle w:val="Default"/>
              <w:jc w:val="both"/>
              <w:rPr>
                <w:b/>
                <w:bCs/>
                <w:sz w:val="22"/>
                <w:szCs w:val="22"/>
              </w:rPr>
            </w:pPr>
            <w:r>
              <w:rPr>
                <w:b/>
                <w:bCs/>
                <w:sz w:val="22"/>
                <w:szCs w:val="22"/>
              </w:rPr>
              <w:t>2022</w:t>
            </w:r>
          </w:p>
        </w:tc>
        <w:tc>
          <w:tcPr>
            <w:tcW w:w="1750" w:type="dxa"/>
            <w:shd w:val="clear" w:color="auto" w:fill="F2EDCE" w:themeFill="accent1" w:themeFillTint="33"/>
          </w:tcPr>
          <w:p w14:paraId="531281E6" w14:textId="59976938" w:rsidR="00AF16D6" w:rsidRDefault="00AF16D6" w:rsidP="00600452">
            <w:pPr>
              <w:pStyle w:val="Default"/>
              <w:jc w:val="both"/>
              <w:rPr>
                <w:b/>
                <w:bCs/>
                <w:sz w:val="22"/>
                <w:szCs w:val="22"/>
              </w:rPr>
            </w:pPr>
            <w:r>
              <w:rPr>
                <w:b/>
                <w:bCs/>
                <w:sz w:val="22"/>
                <w:szCs w:val="22"/>
              </w:rPr>
              <w:t>400</w:t>
            </w:r>
          </w:p>
        </w:tc>
        <w:tc>
          <w:tcPr>
            <w:tcW w:w="1750" w:type="dxa"/>
            <w:shd w:val="clear" w:color="auto" w:fill="F2EDCE" w:themeFill="accent1" w:themeFillTint="33"/>
          </w:tcPr>
          <w:p w14:paraId="080E306C" w14:textId="0F5D486F" w:rsidR="00AF16D6" w:rsidRDefault="00AF16D6" w:rsidP="00600452">
            <w:pPr>
              <w:pStyle w:val="Default"/>
              <w:jc w:val="both"/>
              <w:rPr>
                <w:b/>
                <w:bCs/>
                <w:sz w:val="22"/>
                <w:szCs w:val="22"/>
              </w:rPr>
            </w:pPr>
            <w:r>
              <w:rPr>
                <w:b/>
                <w:bCs/>
                <w:sz w:val="22"/>
                <w:szCs w:val="22"/>
              </w:rPr>
              <w:t>0</w:t>
            </w:r>
          </w:p>
        </w:tc>
        <w:tc>
          <w:tcPr>
            <w:tcW w:w="1750" w:type="dxa"/>
            <w:shd w:val="clear" w:color="auto" w:fill="F2EDCE" w:themeFill="accent1" w:themeFillTint="33"/>
          </w:tcPr>
          <w:p w14:paraId="236446E0" w14:textId="5CF8E29D" w:rsidR="00AF16D6" w:rsidRDefault="00C00C79" w:rsidP="00600452">
            <w:pPr>
              <w:pStyle w:val="Default"/>
              <w:jc w:val="both"/>
              <w:rPr>
                <w:b/>
                <w:bCs/>
                <w:sz w:val="22"/>
                <w:szCs w:val="22"/>
              </w:rPr>
            </w:pPr>
            <w:r>
              <w:rPr>
                <w:b/>
                <w:bCs/>
                <w:sz w:val="22"/>
                <w:szCs w:val="22"/>
              </w:rPr>
              <w:t>400</w:t>
            </w:r>
          </w:p>
        </w:tc>
      </w:tr>
      <w:tr w:rsidR="00B4199E" w14:paraId="36C50FC3" w14:textId="77777777" w:rsidTr="00CD544A">
        <w:trPr>
          <w:trHeight w:val="417"/>
        </w:trPr>
        <w:tc>
          <w:tcPr>
            <w:tcW w:w="1750" w:type="dxa"/>
            <w:shd w:val="clear" w:color="auto" w:fill="F2EDCE" w:themeFill="accent1" w:themeFillTint="33"/>
          </w:tcPr>
          <w:p w14:paraId="519D5D56" w14:textId="77D2DD0C" w:rsidR="00B4199E" w:rsidRDefault="00B4199E" w:rsidP="00600452">
            <w:pPr>
              <w:pStyle w:val="Default"/>
              <w:jc w:val="both"/>
              <w:rPr>
                <w:b/>
                <w:bCs/>
                <w:sz w:val="22"/>
                <w:szCs w:val="22"/>
              </w:rPr>
            </w:pPr>
            <w:r>
              <w:rPr>
                <w:b/>
                <w:bCs/>
                <w:sz w:val="22"/>
                <w:szCs w:val="22"/>
              </w:rPr>
              <w:t>2023</w:t>
            </w:r>
          </w:p>
        </w:tc>
        <w:tc>
          <w:tcPr>
            <w:tcW w:w="1750" w:type="dxa"/>
            <w:shd w:val="clear" w:color="auto" w:fill="F2EDCE" w:themeFill="accent1" w:themeFillTint="33"/>
          </w:tcPr>
          <w:p w14:paraId="1D127F57" w14:textId="35EFCDD8" w:rsidR="00B4199E" w:rsidRDefault="00B4199E" w:rsidP="00600452">
            <w:pPr>
              <w:pStyle w:val="Default"/>
              <w:jc w:val="both"/>
              <w:rPr>
                <w:b/>
                <w:bCs/>
                <w:sz w:val="22"/>
                <w:szCs w:val="22"/>
              </w:rPr>
            </w:pPr>
            <w:r>
              <w:rPr>
                <w:b/>
                <w:bCs/>
                <w:sz w:val="22"/>
                <w:szCs w:val="22"/>
              </w:rPr>
              <w:t>384</w:t>
            </w:r>
          </w:p>
        </w:tc>
        <w:tc>
          <w:tcPr>
            <w:tcW w:w="1750" w:type="dxa"/>
            <w:shd w:val="clear" w:color="auto" w:fill="F2EDCE" w:themeFill="accent1" w:themeFillTint="33"/>
          </w:tcPr>
          <w:p w14:paraId="69ABF0F0" w14:textId="4BB8A698" w:rsidR="00B4199E" w:rsidRDefault="00B4199E" w:rsidP="00600452">
            <w:pPr>
              <w:pStyle w:val="Default"/>
              <w:jc w:val="both"/>
              <w:rPr>
                <w:b/>
                <w:bCs/>
                <w:sz w:val="22"/>
                <w:szCs w:val="22"/>
              </w:rPr>
            </w:pPr>
            <w:r>
              <w:rPr>
                <w:b/>
                <w:bCs/>
                <w:sz w:val="22"/>
                <w:szCs w:val="22"/>
              </w:rPr>
              <w:t>0</w:t>
            </w:r>
          </w:p>
        </w:tc>
        <w:tc>
          <w:tcPr>
            <w:tcW w:w="1750" w:type="dxa"/>
            <w:shd w:val="clear" w:color="auto" w:fill="F2EDCE" w:themeFill="accent1" w:themeFillTint="33"/>
          </w:tcPr>
          <w:p w14:paraId="04471A35" w14:textId="1BCA9D26" w:rsidR="00B4199E" w:rsidRDefault="00B4199E" w:rsidP="00600452">
            <w:pPr>
              <w:pStyle w:val="Default"/>
              <w:jc w:val="both"/>
              <w:rPr>
                <w:b/>
                <w:bCs/>
                <w:sz w:val="22"/>
                <w:szCs w:val="22"/>
              </w:rPr>
            </w:pPr>
            <w:r>
              <w:rPr>
                <w:b/>
                <w:bCs/>
                <w:sz w:val="22"/>
                <w:szCs w:val="22"/>
              </w:rPr>
              <w:t>384</w:t>
            </w:r>
          </w:p>
        </w:tc>
      </w:tr>
    </w:tbl>
    <w:p w14:paraId="6681E22B" w14:textId="77777777" w:rsidR="007562A9" w:rsidRDefault="007562A9" w:rsidP="00600452">
      <w:pPr>
        <w:pStyle w:val="Heading1"/>
        <w:jc w:val="both"/>
        <w:rPr>
          <w:color w:val="000000" w:themeColor="text1"/>
        </w:rPr>
      </w:pPr>
    </w:p>
    <w:p w14:paraId="6681E22C" w14:textId="77777777" w:rsidR="009549C0" w:rsidRPr="007562A9" w:rsidRDefault="00FC7470" w:rsidP="00600452">
      <w:pPr>
        <w:pStyle w:val="Heading1"/>
        <w:jc w:val="both"/>
        <w:rPr>
          <w:color w:val="000000" w:themeColor="text1"/>
        </w:rPr>
      </w:pPr>
      <w:r w:rsidRPr="007562A9">
        <w:rPr>
          <w:color w:val="000000" w:themeColor="text1"/>
        </w:rPr>
        <w:t>The European Food Safety Authority reviews the type and sensitivity of the detection method, the selection of the target population, the sampling strategy</w:t>
      </w:r>
      <w:r w:rsidR="007562A9">
        <w:rPr>
          <w:color w:val="000000" w:themeColor="text1"/>
        </w:rPr>
        <w:t>,</w:t>
      </w:r>
      <w:r w:rsidR="004D479B">
        <w:rPr>
          <w:color w:val="000000" w:themeColor="text1"/>
        </w:rPr>
        <w:t xml:space="preserve"> </w:t>
      </w:r>
      <w:r w:rsidRPr="007562A9">
        <w:rPr>
          <w:color w:val="000000" w:themeColor="text1"/>
        </w:rPr>
        <w:t xml:space="preserve">the methodology and the results of each annual survey </w:t>
      </w:r>
      <w:r w:rsidR="004D479B">
        <w:rPr>
          <w:color w:val="000000" w:themeColor="text1"/>
        </w:rPr>
        <w:t xml:space="preserve">conducted </w:t>
      </w:r>
      <w:r w:rsidRPr="007562A9">
        <w:rPr>
          <w:color w:val="000000" w:themeColor="text1"/>
        </w:rPr>
        <w:t>by Ireland</w:t>
      </w:r>
      <w:r w:rsidR="007562A9">
        <w:rPr>
          <w:color w:val="000000" w:themeColor="text1"/>
        </w:rPr>
        <w:t>. It also submits an annual report</w:t>
      </w:r>
      <w:r w:rsidRPr="007562A9">
        <w:rPr>
          <w:color w:val="000000" w:themeColor="text1"/>
        </w:rPr>
        <w:t xml:space="preserve"> to the European Commission</w:t>
      </w:r>
      <w:r w:rsidR="004D479B">
        <w:rPr>
          <w:color w:val="000000" w:themeColor="text1"/>
        </w:rPr>
        <w:t xml:space="preserve">. On each of the annual surveys carried out, </w:t>
      </w:r>
      <w:r w:rsidRPr="007562A9">
        <w:rPr>
          <w:color w:val="000000" w:themeColor="text1"/>
        </w:rPr>
        <w:t>Ireland succeeded in the fulfilment of the techni</w:t>
      </w:r>
      <w:r w:rsidR="004D479B">
        <w:rPr>
          <w:color w:val="000000" w:themeColor="text1"/>
        </w:rPr>
        <w:t xml:space="preserve">cal legal requirements to provide </w:t>
      </w:r>
      <w:r w:rsidRPr="007562A9">
        <w:rPr>
          <w:color w:val="000000" w:themeColor="text1"/>
        </w:rPr>
        <w:t>evidence, with 95</w:t>
      </w:r>
      <w:r w:rsidR="004D479B">
        <w:rPr>
          <w:color w:val="000000" w:themeColor="text1"/>
        </w:rPr>
        <w:t xml:space="preserve">% confidence, </w:t>
      </w:r>
      <w:r w:rsidRPr="007562A9">
        <w:rPr>
          <w:color w:val="000000" w:themeColor="text1"/>
        </w:rPr>
        <w:t xml:space="preserve">of &lt; 1% prevalence of </w:t>
      </w:r>
      <w:r w:rsidR="004D5D12" w:rsidRPr="007562A9">
        <w:rPr>
          <w:i/>
          <w:color w:val="000000" w:themeColor="text1"/>
        </w:rPr>
        <w:t>Echinococcus multilocularis</w:t>
      </w:r>
      <w:r w:rsidRPr="007562A9">
        <w:rPr>
          <w:color w:val="000000" w:themeColor="text1"/>
        </w:rPr>
        <w:t xml:space="preserve"> in red foxes in Ireland</w:t>
      </w:r>
      <w:r w:rsidR="00B5494E" w:rsidRPr="007562A9">
        <w:rPr>
          <w:color w:val="000000" w:themeColor="text1"/>
        </w:rPr>
        <w:t>.</w:t>
      </w:r>
    </w:p>
    <w:p w14:paraId="6681E22D" w14:textId="77777777" w:rsidR="009549C0" w:rsidRDefault="009549C0" w:rsidP="00600452">
      <w:pPr>
        <w:pStyle w:val="Heading1"/>
        <w:jc w:val="both"/>
      </w:pPr>
    </w:p>
    <w:p w14:paraId="6681E22E" w14:textId="77777777" w:rsidR="00D41B36" w:rsidRDefault="00D41B36" w:rsidP="00600452">
      <w:pPr>
        <w:pStyle w:val="Heading1"/>
        <w:jc w:val="both"/>
      </w:pPr>
      <w:r>
        <w:t>Passive surveillance:</w:t>
      </w:r>
    </w:p>
    <w:p w14:paraId="6681E230" w14:textId="5CAC213E" w:rsidR="00D41B36" w:rsidRDefault="00D41B36" w:rsidP="00600452">
      <w:pPr>
        <w:jc w:val="both"/>
      </w:pPr>
      <w:r>
        <w:t>It should be noted that the active surveillance outlined above is supplementary to the passive surveillance which Ireland has in place to detect a range of animal diseases.</w:t>
      </w:r>
      <w:r w:rsidR="00120DC5">
        <w:t xml:space="preserve">  </w:t>
      </w:r>
      <w:r w:rsidR="00120DC5">
        <w:rPr>
          <w:iCs/>
        </w:rPr>
        <w:t>E</w:t>
      </w:r>
      <w:r>
        <w:rPr>
          <w:iCs/>
        </w:rPr>
        <w:t>chinococc</w:t>
      </w:r>
      <w:r w:rsidRPr="004958D5">
        <w:rPr>
          <w:iCs/>
        </w:rPr>
        <w:t>osis</w:t>
      </w:r>
      <w:r>
        <w:rPr>
          <w:iCs/>
        </w:rPr>
        <w:t xml:space="preserve"> caused by </w:t>
      </w:r>
      <w:r w:rsidRPr="00D41B36">
        <w:rPr>
          <w:i/>
          <w:iCs/>
        </w:rPr>
        <w:t>E. multilocularis</w:t>
      </w:r>
      <w:r>
        <w:rPr>
          <w:i/>
          <w:iCs/>
        </w:rPr>
        <w:t xml:space="preserve"> </w:t>
      </w:r>
      <w:r>
        <w:t>is a notifiable disease in Ireland, meaning that anyone who suspects that an animal or animal product may be affected by the disease is legally obliged to notify DAFM (under SI 130 of 2016). It is also mandatory to notify the public health authorities</w:t>
      </w:r>
      <w:r w:rsidR="00120DC5">
        <w:t xml:space="preserve">, </w:t>
      </w:r>
      <w:hyperlink r:id="rId12" w:history="1">
        <w:r w:rsidR="00120DC5">
          <w:rPr>
            <w:rStyle w:val="Hyperlink"/>
          </w:rPr>
          <w:t>HPSC</w:t>
        </w:r>
      </w:hyperlink>
      <w:r w:rsidR="00120DC5">
        <w:t>,</w:t>
      </w:r>
      <w:r>
        <w:t xml:space="preserve"> if </w:t>
      </w:r>
      <w:r>
        <w:rPr>
          <w:iCs/>
        </w:rPr>
        <w:t>echinococc</w:t>
      </w:r>
      <w:r w:rsidRPr="004958D5">
        <w:rPr>
          <w:iCs/>
        </w:rPr>
        <w:t>osis</w:t>
      </w:r>
      <w:r>
        <w:t xml:space="preserve"> is found in humans. </w:t>
      </w:r>
    </w:p>
    <w:p w14:paraId="6681E231" w14:textId="77777777" w:rsidR="00D41B36" w:rsidRDefault="00D41B36" w:rsidP="00600452">
      <w:pPr>
        <w:jc w:val="both"/>
      </w:pPr>
      <w:r>
        <w:t xml:space="preserve">DAFM also operates a network of regional veterinary laboratories, strategically located around the country. These provide a further possible means through which echinococcosis would be detected, were it to occur in Irish animals. </w:t>
      </w:r>
    </w:p>
    <w:p w14:paraId="6681E232" w14:textId="77777777" w:rsidR="001820BC" w:rsidRDefault="001820BC" w:rsidP="00600452">
      <w:pPr>
        <w:jc w:val="both"/>
        <w:rPr>
          <w:lang w:val="en-GB"/>
        </w:rPr>
      </w:pPr>
    </w:p>
    <w:p w14:paraId="6681E233" w14:textId="2CE42DB5" w:rsidR="0037112D" w:rsidRPr="00323418" w:rsidRDefault="0037112D" w:rsidP="00600452">
      <w:pPr>
        <w:jc w:val="both"/>
        <w:rPr>
          <w:lang w:val="en-GB"/>
        </w:rPr>
      </w:pPr>
      <w:r>
        <w:rPr>
          <w:lang w:val="en-GB"/>
        </w:rPr>
        <w:t xml:space="preserve">Last updated: </w:t>
      </w:r>
      <w:r w:rsidR="00622A60">
        <w:rPr>
          <w:lang w:val="en-GB"/>
        </w:rPr>
        <w:t>24</w:t>
      </w:r>
      <w:r w:rsidR="00B277DE" w:rsidRPr="00B277DE">
        <w:rPr>
          <w:vertAlign w:val="superscript"/>
          <w:lang w:val="en-GB"/>
        </w:rPr>
        <w:t>th</w:t>
      </w:r>
      <w:r w:rsidR="00B277DE">
        <w:rPr>
          <w:lang w:val="en-GB"/>
        </w:rPr>
        <w:t xml:space="preserve"> </w:t>
      </w:r>
      <w:r w:rsidR="00622A60">
        <w:rPr>
          <w:lang w:val="en-GB"/>
        </w:rPr>
        <w:t>May</w:t>
      </w:r>
      <w:r w:rsidR="00B277DE">
        <w:rPr>
          <w:lang w:val="en-GB"/>
        </w:rPr>
        <w:t xml:space="preserve"> 202</w:t>
      </w:r>
      <w:r w:rsidR="00622A60">
        <w:rPr>
          <w:lang w:val="en-GB"/>
        </w:rPr>
        <w:t>4</w:t>
      </w:r>
    </w:p>
    <w:sectPr w:rsidR="0037112D" w:rsidRPr="00323418" w:rsidSect="0022355E">
      <w:headerReference w:type="default" r:id="rId13"/>
      <w:pgSz w:w="11906" w:h="16838"/>
      <w:pgMar w:top="1985"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25BB" w14:textId="77777777" w:rsidR="00B70C75" w:rsidRDefault="00B70C75" w:rsidP="00AC50DB">
      <w:r>
        <w:separator/>
      </w:r>
    </w:p>
  </w:endnote>
  <w:endnote w:type="continuationSeparator" w:id="0">
    <w:p w14:paraId="5FC82D45" w14:textId="77777777" w:rsidR="00B70C75" w:rsidRDefault="00B70C75" w:rsidP="00AC50DB">
      <w:r>
        <w:continuationSeparator/>
      </w:r>
    </w:p>
  </w:endnote>
  <w:endnote w:type="continuationNotice" w:id="1">
    <w:p w14:paraId="156B2C81" w14:textId="77777777" w:rsidR="007D74E2" w:rsidRDefault="007D74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805A" w14:textId="77777777" w:rsidR="00B70C75" w:rsidRDefault="00B70C75" w:rsidP="00AC50DB">
      <w:r>
        <w:separator/>
      </w:r>
    </w:p>
  </w:footnote>
  <w:footnote w:type="continuationSeparator" w:id="0">
    <w:p w14:paraId="1EEC621B" w14:textId="77777777" w:rsidR="00B70C75" w:rsidRDefault="00B70C75" w:rsidP="00AC50DB">
      <w:r>
        <w:continuationSeparator/>
      </w:r>
    </w:p>
  </w:footnote>
  <w:footnote w:type="continuationNotice" w:id="1">
    <w:p w14:paraId="335EEE22" w14:textId="77777777" w:rsidR="007D74E2" w:rsidRDefault="007D74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E238" w14:textId="77777777" w:rsidR="006E2E41" w:rsidRDefault="006E2E41" w:rsidP="00AC50DB">
    <w:pPr>
      <w:pStyle w:val="Header"/>
    </w:pPr>
    <w:r>
      <w:rPr>
        <w:noProof/>
      </w:rPr>
      <w:drawing>
        <wp:anchor distT="0" distB="0" distL="114300" distR="114300" simplePos="0" relativeHeight="251658240" behindDoc="1" locked="0" layoutInCell="1" allowOverlap="1" wp14:anchorId="6681E239" wp14:editId="6681E23A">
          <wp:simplePos x="0" y="0"/>
          <wp:positionH relativeFrom="column">
            <wp:posOffset>-653415</wp:posOffset>
          </wp:positionH>
          <wp:positionV relativeFrom="paragraph">
            <wp:posOffset>-440055</wp:posOffset>
          </wp:positionV>
          <wp:extent cx="2943225" cy="1066800"/>
          <wp:effectExtent l="0" t="0" r="0" b="0"/>
          <wp:wrapNone/>
          <wp:docPr id="3" name="Picture 3" descr="DAF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FMlogo.png"/>
                  <pic:cNvPicPr/>
                </pic:nvPicPr>
                <pic:blipFill>
                  <a:blip r:embed="rId1"/>
                  <a:stretch>
                    <a:fillRect/>
                  </a:stretch>
                </pic:blipFill>
                <pic:spPr>
                  <a:xfrm>
                    <a:off x="0" y="0"/>
                    <a:ext cx="2943225" cy="106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4E35"/>
    <w:multiLevelType w:val="hybridMultilevel"/>
    <w:tmpl w:val="F01E4B1E"/>
    <w:lvl w:ilvl="0" w:tplc="18090001">
      <w:start w:val="1"/>
      <w:numFmt w:val="bullet"/>
      <w:lvlText w:val=""/>
      <w:lvlJc w:val="left"/>
      <w:pPr>
        <w:ind w:left="720" w:hanging="360"/>
      </w:pPr>
      <w:rPr>
        <w:rFonts w:ascii="Symbol" w:hAnsi="Symbol" w:hint="default"/>
      </w:rPr>
    </w:lvl>
    <w:lvl w:ilvl="1" w:tplc="B1104070">
      <w:numFmt w:val="bullet"/>
      <w:lvlText w:val="—"/>
      <w:lvlJc w:val="left"/>
      <w:pPr>
        <w:ind w:left="1440" w:hanging="360"/>
      </w:pPr>
      <w:rPr>
        <w:rFonts w:ascii="Times New Roman" w:eastAsiaTheme="minorEastAsia"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610419"/>
    <w:multiLevelType w:val="hybridMultilevel"/>
    <w:tmpl w:val="D6D43C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005A90"/>
    <w:multiLevelType w:val="hybridMultilevel"/>
    <w:tmpl w:val="01DA6432"/>
    <w:lvl w:ilvl="0" w:tplc="4C8ABA8C">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0D368CD"/>
    <w:multiLevelType w:val="hybridMultilevel"/>
    <w:tmpl w:val="AD68EB24"/>
    <w:lvl w:ilvl="0" w:tplc="4C8ABA8C">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8342E9"/>
    <w:multiLevelType w:val="hybridMultilevel"/>
    <w:tmpl w:val="37D0A3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820438E"/>
    <w:multiLevelType w:val="hybridMultilevel"/>
    <w:tmpl w:val="BFF83D16"/>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5EC354F"/>
    <w:multiLevelType w:val="hybridMultilevel"/>
    <w:tmpl w:val="AC608C0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95441111">
    <w:abstractNumId w:val="1"/>
  </w:num>
  <w:num w:numId="2" w16cid:durableId="2088796139">
    <w:abstractNumId w:val="2"/>
  </w:num>
  <w:num w:numId="3" w16cid:durableId="1116799304">
    <w:abstractNumId w:val="3"/>
  </w:num>
  <w:num w:numId="4" w16cid:durableId="231089430">
    <w:abstractNumId w:val="0"/>
  </w:num>
  <w:num w:numId="5" w16cid:durableId="1702702274">
    <w:abstractNumId w:val="4"/>
  </w:num>
  <w:num w:numId="6" w16cid:durableId="674915986">
    <w:abstractNumId w:val="6"/>
  </w:num>
  <w:num w:numId="7" w16cid:durableId="877281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FD"/>
    <w:rsid w:val="00027CAF"/>
    <w:rsid w:val="00031CA3"/>
    <w:rsid w:val="0003563A"/>
    <w:rsid w:val="000658A8"/>
    <w:rsid w:val="00120DC5"/>
    <w:rsid w:val="00123861"/>
    <w:rsid w:val="00127E58"/>
    <w:rsid w:val="001820BC"/>
    <w:rsid w:val="001C32E5"/>
    <w:rsid w:val="001E0D6F"/>
    <w:rsid w:val="002114C3"/>
    <w:rsid w:val="0022355E"/>
    <w:rsid w:val="00230998"/>
    <w:rsid w:val="002614B4"/>
    <w:rsid w:val="00274BAB"/>
    <w:rsid w:val="00284F67"/>
    <w:rsid w:val="002A29AE"/>
    <w:rsid w:val="002C2A18"/>
    <w:rsid w:val="002F64B8"/>
    <w:rsid w:val="0032148C"/>
    <w:rsid w:val="00323418"/>
    <w:rsid w:val="003314D2"/>
    <w:rsid w:val="0037112D"/>
    <w:rsid w:val="00395984"/>
    <w:rsid w:val="003A066D"/>
    <w:rsid w:val="003A5756"/>
    <w:rsid w:val="003A6E8C"/>
    <w:rsid w:val="003D29E0"/>
    <w:rsid w:val="0041114D"/>
    <w:rsid w:val="00445366"/>
    <w:rsid w:val="00460637"/>
    <w:rsid w:val="00470BD8"/>
    <w:rsid w:val="004A1CD0"/>
    <w:rsid w:val="004A2CAE"/>
    <w:rsid w:val="004C6A6F"/>
    <w:rsid w:val="004D479B"/>
    <w:rsid w:val="004D5D12"/>
    <w:rsid w:val="004F53DF"/>
    <w:rsid w:val="0056419B"/>
    <w:rsid w:val="005A540D"/>
    <w:rsid w:val="00600452"/>
    <w:rsid w:val="00602A11"/>
    <w:rsid w:val="006030BB"/>
    <w:rsid w:val="00610B6D"/>
    <w:rsid w:val="006126D9"/>
    <w:rsid w:val="00622A60"/>
    <w:rsid w:val="00661B54"/>
    <w:rsid w:val="0069106C"/>
    <w:rsid w:val="006A2530"/>
    <w:rsid w:val="006C2B84"/>
    <w:rsid w:val="006E2E41"/>
    <w:rsid w:val="0070466A"/>
    <w:rsid w:val="007562A9"/>
    <w:rsid w:val="00763C0F"/>
    <w:rsid w:val="00764CD2"/>
    <w:rsid w:val="007A0AB5"/>
    <w:rsid w:val="007A2E83"/>
    <w:rsid w:val="007D07CB"/>
    <w:rsid w:val="007D543C"/>
    <w:rsid w:val="007D74E2"/>
    <w:rsid w:val="007F6FB8"/>
    <w:rsid w:val="007F73A6"/>
    <w:rsid w:val="00817233"/>
    <w:rsid w:val="0088772E"/>
    <w:rsid w:val="008B226C"/>
    <w:rsid w:val="008D4CDE"/>
    <w:rsid w:val="00907814"/>
    <w:rsid w:val="00917A00"/>
    <w:rsid w:val="009549C0"/>
    <w:rsid w:val="00954C2A"/>
    <w:rsid w:val="009D015F"/>
    <w:rsid w:val="009E06CD"/>
    <w:rsid w:val="009F5E3E"/>
    <w:rsid w:val="00A722F6"/>
    <w:rsid w:val="00A9603C"/>
    <w:rsid w:val="00A964F1"/>
    <w:rsid w:val="00AC50DB"/>
    <w:rsid w:val="00AC71AB"/>
    <w:rsid w:val="00AF16D6"/>
    <w:rsid w:val="00B277DE"/>
    <w:rsid w:val="00B4014D"/>
    <w:rsid w:val="00B4199E"/>
    <w:rsid w:val="00B5494E"/>
    <w:rsid w:val="00B70C75"/>
    <w:rsid w:val="00B85F8D"/>
    <w:rsid w:val="00B914F5"/>
    <w:rsid w:val="00BA2F8C"/>
    <w:rsid w:val="00BD1421"/>
    <w:rsid w:val="00C00C79"/>
    <w:rsid w:val="00C54098"/>
    <w:rsid w:val="00C674D3"/>
    <w:rsid w:val="00CD544A"/>
    <w:rsid w:val="00CE2F41"/>
    <w:rsid w:val="00D20A6E"/>
    <w:rsid w:val="00D21D5C"/>
    <w:rsid w:val="00D41B36"/>
    <w:rsid w:val="00D70417"/>
    <w:rsid w:val="00D81BAD"/>
    <w:rsid w:val="00DB3764"/>
    <w:rsid w:val="00DB3804"/>
    <w:rsid w:val="00DD5D36"/>
    <w:rsid w:val="00DE1630"/>
    <w:rsid w:val="00DE5CEA"/>
    <w:rsid w:val="00DF7F33"/>
    <w:rsid w:val="00E13864"/>
    <w:rsid w:val="00E4200E"/>
    <w:rsid w:val="00E47E12"/>
    <w:rsid w:val="00E56764"/>
    <w:rsid w:val="00E620EA"/>
    <w:rsid w:val="00E73034"/>
    <w:rsid w:val="00E953FD"/>
    <w:rsid w:val="00EB1E19"/>
    <w:rsid w:val="00EB447E"/>
    <w:rsid w:val="00EE47AE"/>
    <w:rsid w:val="00F72C22"/>
    <w:rsid w:val="00F96D5F"/>
    <w:rsid w:val="00FC1AA4"/>
    <w:rsid w:val="00FC74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81E200"/>
  <w15:docId w15:val="{179C43E2-6E14-4174-A4EF-C5AEA015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0DB"/>
    <w:pPr>
      <w:autoSpaceDE w:val="0"/>
      <w:autoSpaceDN w:val="0"/>
      <w:adjustRightInd w:val="0"/>
      <w:spacing w:after="0" w:line="360" w:lineRule="auto"/>
    </w:pPr>
    <w:rPr>
      <w:rFonts w:cstheme="minorHAnsi"/>
      <w:color w:val="000000" w:themeColor="text1"/>
      <w:lang w:val="en-IE" w:eastAsia="en-IE"/>
    </w:rPr>
  </w:style>
  <w:style w:type="paragraph" w:styleId="Heading1">
    <w:name w:val="heading 1"/>
    <w:basedOn w:val="Normal"/>
    <w:next w:val="Normal"/>
    <w:link w:val="Heading1Char"/>
    <w:uiPriority w:val="9"/>
    <w:qFormat/>
    <w:rsid w:val="00AC50DB"/>
    <w:pPr>
      <w:outlineLvl w:val="0"/>
    </w:pPr>
    <w:rPr>
      <w:b/>
      <w:color w:val="004E46"/>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30998"/>
    <w:pPr>
      <w:pBdr>
        <w:bottom w:val="single" w:sz="8" w:space="4" w:color="A3912A" w:themeColor="accent1"/>
      </w:pBdr>
      <w:spacing w:after="300" w:line="240" w:lineRule="auto"/>
      <w:contextualSpacing/>
    </w:pPr>
    <w:rPr>
      <w:rFonts w:asciiTheme="majorHAnsi" w:eastAsiaTheme="majorEastAsia" w:hAnsiTheme="majorHAnsi" w:cstheme="majorBidi"/>
      <w:color w:val="4D4F3F" w:themeColor="text2" w:themeShade="BF"/>
      <w:spacing w:val="5"/>
      <w:kern w:val="28"/>
      <w:sz w:val="52"/>
      <w:szCs w:val="52"/>
    </w:rPr>
  </w:style>
  <w:style w:type="character" w:customStyle="1" w:styleId="TitleChar">
    <w:name w:val="Title Char"/>
    <w:basedOn w:val="DefaultParagraphFont"/>
    <w:link w:val="Title"/>
    <w:uiPriority w:val="10"/>
    <w:rsid w:val="00230998"/>
    <w:rPr>
      <w:rFonts w:asciiTheme="majorHAnsi" w:eastAsiaTheme="majorEastAsia" w:hAnsiTheme="majorHAnsi" w:cstheme="majorBidi"/>
      <w:color w:val="4D4F3F" w:themeColor="text2" w:themeShade="BF"/>
      <w:spacing w:val="5"/>
      <w:kern w:val="28"/>
      <w:sz w:val="52"/>
      <w:szCs w:val="52"/>
    </w:rPr>
  </w:style>
  <w:style w:type="paragraph" w:styleId="BalloonText">
    <w:name w:val="Balloon Text"/>
    <w:basedOn w:val="Normal"/>
    <w:link w:val="BalloonTextChar"/>
    <w:uiPriority w:val="99"/>
    <w:semiHidden/>
    <w:unhideWhenUsed/>
    <w:rsid w:val="001820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0BC"/>
    <w:rPr>
      <w:rFonts w:ascii="Tahoma" w:hAnsi="Tahoma" w:cs="Tahoma"/>
      <w:sz w:val="16"/>
      <w:szCs w:val="16"/>
    </w:rPr>
  </w:style>
  <w:style w:type="paragraph" w:styleId="DocumentMap">
    <w:name w:val="Document Map"/>
    <w:basedOn w:val="Normal"/>
    <w:link w:val="DocumentMapChar"/>
    <w:uiPriority w:val="99"/>
    <w:semiHidden/>
    <w:unhideWhenUsed/>
    <w:rsid w:val="00DF7F33"/>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F7F33"/>
    <w:rPr>
      <w:rFonts w:ascii="Tahoma" w:hAnsi="Tahoma" w:cs="Tahoma"/>
      <w:sz w:val="16"/>
      <w:szCs w:val="16"/>
    </w:rPr>
  </w:style>
  <w:style w:type="paragraph" w:styleId="Header">
    <w:name w:val="header"/>
    <w:basedOn w:val="Normal"/>
    <w:link w:val="HeaderChar"/>
    <w:uiPriority w:val="99"/>
    <w:unhideWhenUsed/>
    <w:rsid w:val="00395984"/>
    <w:pPr>
      <w:tabs>
        <w:tab w:val="center" w:pos="4513"/>
        <w:tab w:val="right" w:pos="9026"/>
      </w:tabs>
      <w:spacing w:line="240" w:lineRule="auto"/>
    </w:pPr>
  </w:style>
  <w:style w:type="character" w:customStyle="1" w:styleId="HeaderChar">
    <w:name w:val="Header Char"/>
    <w:basedOn w:val="DefaultParagraphFont"/>
    <w:link w:val="Header"/>
    <w:uiPriority w:val="99"/>
    <w:rsid w:val="00395984"/>
  </w:style>
  <w:style w:type="paragraph" w:styleId="Footer">
    <w:name w:val="footer"/>
    <w:basedOn w:val="Normal"/>
    <w:link w:val="FooterChar"/>
    <w:uiPriority w:val="99"/>
    <w:semiHidden/>
    <w:unhideWhenUsed/>
    <w:rsid w:val="00395984"/>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395984"/>
  </w:style>
  <w:style w:type="character" w:customStyle="1" w:styleId="Heading1Char">
    <w:name w:val="Heading 1 Char"/>
    <w:basedOn w:val="DefaultParagraphFont"/>
    <w:link w:val="Heading1"/>
    <w:uiPriority w:val="9"/>
    <w:rsid w:val="00AC50DB"/>
    <w:rPr>
      <w:rFonts w:cstheme="minorHAnsi"/>
      <w:b/>
      <w:color w:val="004E46"/>
      <w:sz w:val="23"/>
      <w:szCs w:val="23"/>
      <w:lang w:eastAsia="en-IE"/>
    </w:rPr>
  </w:style>
  <w:style w:type="paragraph" w:customStyle="1" w:styleId="Standard">
    <w:name w:val="Standard"/>
    <w:rsid w:val="00470BD8"/>
    <w:rPr>
      <w:szCs w:val="20"/>
      <w:lang w:val="en-IE" w:eastAsia="en-IE"/>
    </w:rPr>
  </w:style>
  <w:style w:type="paragraph" w:customStyle="1" w:styleId="Default">
    <w:name w:val="Default"/>
    <w:rsid w:val="00A722F6"/>
    <w:pPr>
      <w:autoSpaceDE w:val="0"/>
      <w:autoSpaceDN w:val="0"/>
      <w:adjustRightInd w:val="0"/>
      <w:spacing w:after="0" w:line="240" w:lineRule="auto"/>
    </w:pPr>
    <w:rPr>
      <w:rFonts w:ascii="Calibri" w:hAnsi="Calibri" w:cs="Calibri"/>
      <w:color w:val="000000"/>
      <w:sz w:val="24"/>
      <w:szCs w:val="24"/>
      <w:lang w:val="en-IE"/>
    </w:rPr>
  </w:style>
  <w:style w:type="paragraph" w:styleId="NormalWeb">
    <w:name w:val="Normal (Web)"/>
    <w:basedOn w:val="Normal"/>
    <w:uiPriority w:val="99"/>
    <w:semiHidden/>
    <w:unhideWhenUsed/>
    <w:rsid w:val="00DB3764"/>
    <w:pPr>
      <w:autoSpaceDE/>
      <w:autoSpaceDN/>
      <w:adjustRightInd/>
      <w:spacing w:after="150"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DB3764"/>
    <w:rPr>
      <w:i/>
      <w:iCs/>
    </w:rPr>
  </w:style>
  <w:style w:type="paragraph" w:customStyle="1" w:styleId="CM1">
    <w:name w:val="CM1"/>
    <w:basedOn w:val="Default"/>
    <w:next w:val="Default"/>
    <w:uiPriority w:val="99"/>
    <w:rsid w:val="00EE47AE"/>
    <w:rPr>
      <w:rFonts w:ascii="Times New Roman" w:hAnsi="Times New Roman" w:cs="Times New Roman"/>
      <w:color w:val="auto"/>
    </w:rPr>
  </w:style>
  <w:style w:type="paragraph" w:customStyle="1" w:styleId="CM3">
    <w:name w:val="CM3"/>
    <w:basedOn w:val="Default"/>
    <w:next w:val="Default"/>
    <w:uiPriority w:val="99"/>
    <w:rsid w:val="00EE47AE"/>
    <w:rPr>
      <w:rFonts w:ascii="Times New Roman" w:hAnsi="Times New Roman" w:cs="Times New Roman"/>
      <w:color w:val="auto"/>
    </w:rPr>
  </w:style>
  <w:style w:type="paragraph" w:customStyle="1" w:styleId="CM4">
    <w:name w:val="CM4"/>
    <w:basedOn w:val="Default"/>
    <w:next w:val="Default"/>
    <w:uiPriority w:val="99"/>
    <w:rsid w:val="00EE47AE"/>
    <w:rPr>
      <w:rFonts w:ascii="Times New Roman" w:hAnsi="Times New Roman" w:cs="Times New Roman"/>
      <w:color w:val="auto"/>
    </w:rPr>
  </w:style>
  <w:style w:type="paragraph" w:styleId="ListParagraph">
    <w:name w:val="List Paragraph"/>
    <w:basedOn w:val="Normal"/>
    <w:uiPriority w:val="34"/>
    <w:qFormat/>
    <w:rsid w:val="00EE47AE"/>
    <w:pPr>
      <w:ind w:left="720"/>
      <w:contextualSpacing/>
    </w:pPr>
  </w:style>
  <w:style w:type="character" w:styleId="CommentReference">
    <w:name w:val="annotation reference"/>
    <w:basedOn w:val="DefaultParagraphFont"/>
    <w:uiPriority w:val="99"/>
    <w:semiHidden/>
    <w:unhideWhenUsed/>
    <w:rsid w:val="0056419B"/>
    <w:rPr>
      <w:sz w:val="16"/>
      <w:szCs w:val="16"/>
    </w:rPr>
  </w:style>
  <w:style w:type="paragraph" w:styleId="CommentText">
    <w:name w:val="annotation text"/>
    <w:basedOn w:val="Normal"/>
    <w:link w:val="CommentTextChar"/>
    <w:uiPriority w:val="99"/>
    <w:unhideWhenUsed/>
    <w:rsid w:val="0056419B"/>
    <w:pPr>
      <w:spacing w:line="240" w:lineRule="auto"/>
    </w:pPr>
    <w:rPr>
      <w:sz w:val="20"/>
      <w:szCs w:val="20"/>
    </w:rPr>
  </w:style>
  <w:style w:type="character" w:customStyle="1" w:styleId="CommentTextChar">
    <w:name w:val="Comment Text Char"/>
    <w:basedOn w:val="DefaultParagraphFont"/>
    <w:link w:val="CommentText"/>
    <w:uiPriority w:val="99"/>
    <w:rsid w:val="0056419B"/>
    <w:rPr>
      <w:rFonts w:cstheme="minorHAnsi"/>
      <w:color w:val="000000" w:themeColor="text1"/>
      <w:sz w:val="20"/>
      <w:szCs w:val="20"/>
      <w:lang w:val="en-IE" w:eastAsia="en-IE"/>
    </w:rPr>
  </w:style>
  <w:style w:type="paragraph" w:styleId="CommentSubject">
    <w:name w:val="annotation subject"/>
    <w:basedOn w:val="CommentText"/>
    <w:next w:val="CommentText"/>
    <w:link w:val="CommentSubjectChar"/>
    <w:uiPriority w:val="99"/>
    <w:semiHidden/>
    <w:unhideWhenUsed/>
    <w:rsid w:val="0056419B"/>
    <w:rPr>
      <w:b/>
      <w:bCs/>
    </w:rPr>
  </w:style>
  <w:style w:type="character" w:customStyle="1" w:styleId="CommentSubjectChar">
    <w:name w:val="Comment Subject Char"/>
    <w:basedOn w:val="CommentTextChar"/>
    <w:link w:val="CommentSubject"/>
    <w:uiPriority w:val="99"/>
    <w:semiHidden/>
    <w:rsid w:val="0056419B"/>
    <w:rPr>
      <w:rFonts w:cstheme="minorHAnsi"/>
      <w:b/>
      <w:bCs/>
      <w:color w:val="000000" w:themeColor="text1"/>
      <w:sz w:val="20"/>
      <w:szCs w:val="20"/>
      <w:lang w:val="en-IE" w:eastAsia="en-IE"/>
    </w:rPr>
  </w:style>
  <w:style w:type="character" w:styleId="Hyperlink">
    <w:name w:val="Hyperlink"/>
    <w:basedOn w:val="DefaultParagraphFont"/>
    <w:uiPriority w:val="99"/>
    <w:unhideWhenUsed/>
    <w:rsid w:val="00120DC5"/>
    <w:rPr>
      <w:color w:val="DB5353" w:themeColor="hyperlink"/>
      <w:u w:val="single"/>
    </w:rPr>
  </w:style>
  <w:style w:type="character" w:styleId="UnresolvedMention">
    <w:name w:val="Unresolved Mention"/>
    <w:basedOn w:val="DefaultParagraphFont"/>
    <w:uiPriority w:val="99"/>
    <w:semiHidden/>
    <w:unhideWhenUsed/>
    <w:rsid w:val="00120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4992">
      <w:bodyDiv w:val="1"/>
      <w:marLeft w:val="0"/>
      <w:marRight w:val="0"/>
      <w:marTop w:val="0"/>
      <w:marBottom w:val="0"/>
      <w:divBdr>
        <w:top w:val="none" w:sz="0" w:space="0" w:color="auto"/>
        <w:left w:val="none" w:sz="0" w:space="0" w:color="auto"/>
        <w:bottom w:val="none" w:sz="0" w:space="0" w:color="auto"/>
        <w:right w:val="none" w:sz="0" w:space="0" w:color="auto"/>
      </w:divBdr>
      <w:divsChild>
        <w:div w:id="1375349303">
          <w:marLeft w:val="0"/>
          <w:marRight w:val="0"/>
          <w:marTop w:val="0"/>
          <w:marBottom w:val="0"/>
          <w:divBdr>
            <w:top w:val="none" w:sz="0" w:space="0" w:color="auto"/>
            <w:left w:val="none" w:sz="0" w:space="0" w:color="auto"/>
            <w:bottom w:val="none" w:sz="0" w:space="0" w:color="auto"/>
            <w:right w:val="none" w:sz="0" w:space="0" w:color="auto"/>
          </w:divBdr>
          <w:divsChild>
            <w:div w:id="944462349">
              <w:marLeft w:val="-225"/>
              <w:marRight w:val="-225"/>
              <w:marTop w:val="0"/>
              <w:marBottom w:val="0"/>
              <w:divBdr>
                <w:top w:val="none" w:sz="0" w:space="0" w:color="auto"/>
                <w:left w:val="none" w:sz="0" w:space="0" w:color="auto"/>
                <w:bottom w:val="none" w:sz="0" w:space="0" w:color="auto"/>
                <w:right w:val="none" w:sz="0" w:space="0" w:color="auto"/>
              </w:divBdr>
              <w:divsChild>
                <w:div w:id="1154107352">
                  <w:marLeft w:val="0"/>
                  <w:marRight w:val="0"/>
                  <w:marTop w:val="0"/>
                  <w:marBottom w:val="0"/>
                  <w:divBdr>
                    <w:top w:val="none" w:sz="0" w:space="0" w:color="auto"/>
                    <w:left w:val="none" w:sz="0" w:space="0" w:color="auto"/>
                    <w:bottom w:val="none" w:sz="0" w:space="0" w:color="auto"/>
                    <w:right w:val="none" w:sz="0" w:space="0" w:color="auto"/>
                  </w:divBdr>
                  <w:divsChild>
                    <w:div w:id="1556045235">
                      <w:marLeft w:val="-225"/>
                      <w:marRight w:val="-225"/>
                      <w:marTop w:val="0"/>
                      <w:marBottom w:val="0"/>
                      <w:divBdr>
                        <w:top w:val="none" w:sz="0" w:space="0" w:color="auto"/>
                        <w:left w:val="none" w:sz="0" w:space="0" w:color="auto"/>
                        <w:bottom w:val="none" w:sz="0" w:space="0" w:color="auto"/>
                        <w:right w:val="none" w:sz="0" w:space="0" w:color="auto"/>
                      </w:divBdr>
                      <w:divsChild>
                        <w:div w:id="1114668116">
                          <w:marLeft w:val="0"/>
                          <w:marRight w:val="0"/>
                          <w:marTop w:val="0"/>
                          <w:marBottom w:val="0"/>
                          <w:divBdr>
                            <w:top w:val="none" w:sz="0" w:space="0" w:color="auto"/>
                            <w:left w:val="none" w:sz="0" w:space="0" w:color="auto"/>
                            <w:bottom w:val="none" w:sz="0" w:space="0" w:color="auto"/>
                            <w:right w:val="none" w:sz="0" w:space="0" w:color="auto"/>
                          </w:divBdr>
                          <w:divsChild>
                            <w:div w:id="10197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235656">
      <w:bodyDiv w:val="1"/>
      <w:marLeft w:val="0"/>
      <w:marRight w:val="0"/>
      <w:marTop w:val="0"/>
      <w:marBottom w:val="0"/>
      <w:divBdr>
        <w:top w:val="none" w:sz="0" w:space="0" w:color="auto"/>
        <w:left w:val="none" w:sz="0" w:space="0" w:color="auto"/>
        <w:bottom w:val="none" w:sz="0" w:space="0" w:color="auto"/>
        <w:right w:val="none" w:sz="0" w:space="0" w:color="auto"/>
      </w:divBdr>
      <w:divsChild>
        <w:div w:id="1533688811">
          <w:marLeft w:val="0"/>
          <w:marRight w:val="0"/>
          <w:marTop w:val="0"/>
          <w:marBottom w:val="0"/>
          <w:divBdr>
            <w:top w:val="none" w:sz="0" w:space="0" w:color="auto"/>
            <w:left w:val="none" w:sz="0" w:space="0" w:color="auto"/>
            <w:bottom w:val="none" w:sz="0" w:space="0" w:color="auto"/>
            <w:right w:val="none" w:sz="0" w:space="0" w:color="auto"/>
          </w:divBdr>
          <w:divsChild>
            <w:div w:id="1920746239">
              <w:marLeft w:val="-225"/>
              <w:marRight w:val="-225"/>
              <w:marTop w:val="0"/>
              <w:marBottom w:val="0"/>
              <w:divBdr>
                <w:top w:val="none" w:sz="0" w:space="0" w:color="auto"/>
                <w:left w:val="none" w:sz="0" w:space="0" w:color="auto"/>
                <w:bottom w:val="none" w:sz="0" w:space="0" w:color="auto"/>
                <w:right w:val="none" w:sz="0" w:space="0" w:color="auto"/>
              </w:divBdr>
              <w:divsChild>
                <w:div w:id="1080643646">
                  <w:marLeft w:val="0"/>
                  <w:marRight w:val="0"/>
                  <w:marTop w:val="0"/>
                  <w:marBottom w:val="0"/>
                  <w:divBdr>
                    <w:top w:val="none" w:sz="0" w:space="0" w:color="auto"/>
                    <w:left w:val="none" w:sz="0" w:space="0" w:color="auto"/>
                    <w:bottom w:val="none" w:sz="0" w:space="0" w:color="auto"/>
                    <w:right w:val="none" w:sz="0" w:space="0" w:color="auto"/>
                  </w:divBdr>
                  <w:divsChild>
                    <w:div w:id="73164081">
                      <w:marLeft w:val="-225"/>
                      <w:marRight w:val="-225"/>
                      <w:marTop w:val="0"/>
                      <w:marBottom w:val="0"/>
                      <w:divBdr>
                        <w:top w:val="none" w:sz="0" w:space="0" w:color="auto"/>
                        <w:left w:val="none" w:sz="0" w:space="0" w:color="auto"/>
                        <w:bottom w:val="none" w:sz="0" w:space="0" w:color="auto"/>
                        <w:right w:val="none" w:sz="0" w:space="0" w:color="auto"/>
                      </w:divBdr>
                      <w:divsChild>
                        <w:div w:id="1524203359">
                          <w:marLeft w:val="0"/>
                          <w:marRight w:val="0"/>
                          <w:marTop w:val="0"/>
                          <w:marBottom w:val="0"/>
                          <w:divBdr>
                            <w:top w:val="none" w:sz="0" w:space="0" w:color="auto"/>
                            <w:left w:val="none" w:sz="0" w:space="0" w:color="auto"/>
                            <w:bottom w:val="none" w:sz="0" w:space="0" w:color="auto"/>
                            <w:right w:val="none" w:sz="0" w:space="0" w:color="auto"/>
                          </w:divBdr>
                          <w:divsChild>
                            <w:div w:id="4170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psc.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676A55"/>
      </a:dk2>
      <a:lt2>
        <a:srgbClr val="EAEBDE"/>
      </a:lt2>
      <a:accent1>
        <a:srgbClr val="A3912A"/>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eDocs_SeriesSubSeriesTaxHTField0 xmlns="026c8873-a5c8-4a77-8b51-b344a426a004">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f4574e5e-08de-4c98-94d4-8942fe3b43a7</TermId>
        </TermInfo>
      </Terms>
    </eDocs_SeriesSubSeriesTaxHTField0>
    <eDocs_FileTopicsTaxHTField0 xmlns="026c8873-a5c8-4a77-8b51-b344a426a00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2a70bc68-c293-40d3-9f4b-d244cf61f82e</TermId>
        </TermInfo>
        <TermInfo xmlns="http://schemas.microsoft.com/office/infopath/2007/PartnerControls">
          <TermName xmlns="http://schemas.microsoft.com/office/infopath/2007/PartnerControls">Website</TermName>
          <TermId xmlns="http://schemas.microsoft.com/office/infopath/2007/PartnerControls">33969447-0b63-45e8-b3eb-98064f04ce40</TermId>
        </TermInfo>
      </Terms>
    </eDocs_FileTopicsTaxHTField0>
    <eDocs_FileName xmlns="http://schemas.microsoft.com/sharepoint/v3">AGNDC003-007-2022</eDocs_FileName>
    <eDocs_DocumentTopicsTaxHTField0 xmlns="026c8873-a5c8-4a77-8b51-b344a426a004">
      <Terms xmlns="http://schemas.microsoft.com/office/infopath/2007/PartnerControls"/>
    </eDocs_DocumentTopicsTaxHTField0>
    <TaxCatchAll xmlns="5a0f1e92-5ec3-4381-91f1-920ab27a131e">
      <Value>5</Value>
      <Value>10</Value>
      <Value>9</Value>
      <Value>1</Value>
      <Value>3</Value>
    </TaxCatchAll>
    <eDocs_YearTaxHTField0 xmlns="026c8873-a5c8-4a77-8b51-b344a426a004">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8fb03f2a-c3cf-4498-b443-5004e5f8731e</TermId>
        </TermInfo>
      </Terms>
    </eDocs_YearTaxHTField0>
    <_dlc_ExpireDateSaved xmlns="http://schemas.microsoft.com/sharepoint/v3" xsi:nil="true"/>
    <_dlc_ExpireDate xmlns="http://schemas.microsoft.com/sharepoint/v3" xsi:nil="true"/>
    <eDocs_SecurityClassificationTaxHTField0 xmlns="026c8873-a5c8-4a77-8b51-b344a426a004">
      <Terms xmlns="http://schemas.microsoft.com/office/infopath/2007/PartnerControls">
        <TermInfo xmlns="http://schemas.microsoft.com/office/infopath/2007/PartnerControls">
          <TermName xmlns="http://schemas.microsoft.com/office/infopath/2007/PartnerControls">Restrictive</TermName>
          <TermId xmlns="http://schemas.microsoft.com/office/infopath/2007/PartnerControls">b6cdb86d-2ce3-48f9-be6c-29b64bc9cca9</TermId>
        </TermInfo>
      </Terms>
    </eDocs_SecurityClassification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CDC39EFF54B74E4FA597963FEFBA0653" ma:contentTypeVersion="22" ma:contentTypeDescription="Create a new document for eDocs" ma:contentTypeScope="" ma:versionID="719a6c992ad52ee16cc5e878cc765850">
  <xsd:schema xmlns:xsd="http://www.w3.org/2001/XMLSchema" xmlns:xs="http://www.w3.org/2001/XMLSchema" xmlns:p="http://schemas.microsoft.com/office/2006/metadata/properties" xmlns:ns1="http://schemas.microsoft.com/sharepoint/v3" xmlns:ns2="026c8873-a5c8-4a77-8b51-b344a426a004" xmlns:ns3="5a0f1e92-5ec3-4381-91f1-920ab27a131e" targetNamespace="http://schemas.microsoft.com/office/2006/metadata/properties" ma:root="true" ma:fieldsID="7facfdb1e697c3ae79c755917c9bb2df" ns1:_="" ns2:_="" ns3:_="">
    <xsd:import namespace="http://schemas.microsoft.com/sharepoint/v3"/>
    <xsd:import namespace="026c8873-a5c8-4a77-8b51-b344a426a004"/>
    <xsd:import namespace="5a0f1e92-5ec3-4381-91f1-920ab27a131e"/>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026c8873-a5c8-4a77-8b51-b344a426a004"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638719e2-a8dd-41e9-a1c8-eaacd362d94e" ma:termSetId="bfcd7e4b-b2b6-4954-8790-3911539312ad"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638719e2-a8dd-41e9-a1c8-eaacd362d94e" ma:termSetId="d1487d56-a514-44f1-aca8-ee79458ab65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638719e2-a8dd-41e9-a1c8-eaacd362d94e" ma:termSetId="acc59e8e-1c4e-4c17-97cb-7d948317724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638719e2-a8dd-41e9-a1c8-eaacd362d94e" ma:termSetId="bfcd7e4b-b2b6-4954-8790-3911539312ad"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Restrictive|b6cdb86d-2ce3-48f9-be6c-29b64bc9cca9" ma:fieldId="{6bbd3faf-a5ab-4e5e-b8a6-a5e099cef439}" ma:sspId="638719e2-a8dd-41e9-a1c8-eaacd362d94e" ma:termSetId="b6ed839a-487e-4da7-8327-e934f239e0b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0f1e92-5ec3-4381-91f1-920ab27a13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f97326-f454-44e2-87ac-113207b64fc7}" ma:internalName="TaxCatchAll" ma:showField="CatchAllData" ma:web="5a0f1e92-5ec3-4381-91f1-920ab27a1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6D0FE952-BF36-48CE-AA38-BF925F60CD9E}">
  <ds:schemaRefs>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microsoft.com/sharepoint/v3"/>
    <ds:schemaRef ds:uri="http://schemas.openxmlformats.org/package/2006/metadata/core-properties"/>
    <ds:schemaRef ds:uri="5a0f1e92-5ec3-4381-91f1-920ab27a131e"/>
    <ds:schemaRef ds:uri="026c8873-a5c8-4a77-8b51-b344a426a00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F0AE1CE-97F0-45D6-9FA0-BB0CA2A7D2AA}">
  <ds:schemaRefs>
    <ds:schemaRef ds:uri="http://schemas.microsoft.com/sharepoint/v3/contenttype/forms"/>
  </ds:schemaRefs>
</ds:datastoreItem>
</file>

<file path=customXml/itemProps3.xml><?xml version="1.0" encoding="utf-8"?>
<ds:datastoreItem xmlns:ds="http://schemas.openxmlformats.org/officeDocument/2006/customXml" ds:itemID="{7CEDA27B-A8DF-4107-A217-43273B5E4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c8873-a5c8-4a77-8b51-b344a426a004"/>
    <ds:schemaRef ds:uri="5a0f1e92-5ec3-4381-91f1-920ab27a1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40334-8D07-4729-84F9-8E6E62794D6E}">
  <ds:schemaRefs>
    <ds:schemaRef ds:uri="http://schemas.microsoft.com/sharepoint/events"/>
  </ds:schemaRefs>
</ds:datastoreItem>
</file>

<file path=customXml/itemProps5.xml><?xml version="1.0" encoding="utf-8"?>
<ds:datastoreItem xmlns:ds="http://schemas.openxmlformats.org/officeDocument/2006/customXml" ds:itemID="{CA31BE62-FD5A-4E72-A5EC-2D05F3AAB6B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Echinococcus Multilocularis11062020</vt:lpstr>
    </vt:vector>
  </TitlesOfParts>
  <Company>Agriculture, Food and the Marine</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Echinococcus Multilocularis11062020</dc:title>
  <dc:creator>Michael.Horan</dc:creator>
  <cp:lastModifiedBy>Moran, Rachael</cp:lastModifiedBy>
  <cp:revision>7</cp:revision>
  <cp:lastPrinted>2024-05-24T08:10:00Z</cp:lastPrinted>
  <dcterms:created xsi:type="dcterms:W3CDTF">2023-10-24T10:17:00Z</dcterms:created>
  <dcterms:modified xsi:type="dcterms:W3CDTF">2024-05-24T08:10:00Z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0x0101000BC94875665D404BB1351B53C41FD2C000CDC39EFF54B74E4FA597963FEFBA0653</vt:lpwstr>
  </property>
  <property fmtid="{D5CDD505-2E9C-101B-9397-08002B2CF9AE}" pid="3" name="eDocs_FileTopics">
    <vt:lpwstr>3;#Administration|2a70bc68-c293-40d3-9f4b-d244cf61f82e;#5;#Website|33969447-0b63-45e8-b3eb-98064f04ce40</vt:lpwstr>
  </property>
  <property fmtid="{D5CDD505-2E9C-101B-9397-08002B2CF9AE}" pid="4" name="eDocs_Year">
    <vt:lpwstr>9;#2022|8fb03f2a-c3cf-4498-b443-5004e5f8731e</vt:lpwstr>
  </property>
  <property fmtid="{D5CDD505-2E9C-101B-9397-08002B2CF9AE}" pid="5" name="eDocs_SeriesSubSeries">
    <vt:lpwstr>10;#003|f4574e5e-08de-4c98-94d4-8942fe3b43a7</vt:lpwstr>
  </property>
  <property fmtid="{D5CDD505-2E9C-101B-9397-08002B2CF9AE}" pid="6" name="eDocs_SecurityClassificationTaxHTField0">
    <vt:lpwstr>Restrictive|b6cdb86d-2ce3-48f9-be6c-29b64bc9cca9</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1;#Restrictive|b6cdb86d-2ce3-48f9-be6c-29b64bc9cca9</vt:lpwstr>
  </property>
  <property fmtid="{D5CDD505-2E9C-101B-9397-08002B2CF9AE}" pid="10" name="eDocs_DocumentTopics">
    <vt:lpwstr/>
  </property>
  <property fmtid="{D5CDD505-2E9C-101B-9397-08002B2CF9AE}" pid="11" name="_dlc_LastRun">
    <vt:lpwstr>05/22/2022 01:38:13</vt:lpwstr>
  </property>
  <property fmtid="{D5CDD505-2E9C-101B-9397-08002B2CF9AE}" pid="12" name="_docset_NoMedatataSyncRequired">
    <vt:lpwstr>False</vt:lpwstr>
  </property>
</Properties>
</file>